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F3983">
        <w:trPr>
          <w:trHeight w:hRule="exact" w:val="1528"/>
        </w:trPr>
        <w:tc>
          <w:tcPr>
            <w:tcW w:w="143" w:type="dxa"/>
          </w:tcPr>
          <w:p w:rsidR="005F3983" w:rsidRDefault="005F3983"/>
        </w:tc>
        <w:tc>
          <w:tcPr>
            <w:tcW w:w="285" w:type="dxa"/>
          </w:tcPr>
          <w:p w:rsidR="005F3983" w:rsidRDefault="005F3983"/>
        </w:tc>
        <w:tc>
          <w:tcPr>
            <w:tcW w:w="710" w:type="dxa"/>
          </w:tcPr>
          <w:p w:rsidR="005F3983" w:rsidRDefault="005F3983"/>
        </w:tc>
        <w:tc>
          <w:tcPr>
            <w:tcW w:w="1419" w:type="dxa"/>
          </w:tcPr>
          <w:p w:rsidR="005F3983" w:rsidRDefault="005F3983"/>
        </w:tc>
        <w:tc>
          <w:tcPr>
            <w:tcW w:w="1419" w:type="dxa"/>
          </w:tcPr>
          <w:p w:rsidR="005F3983" w:rsidRDefault="005F3983"/>
        </w:tc>
        <w:tc>
          <w:tcPr>
            <w:tcW w:w="710" w:type="dxa"/>
          </w:tcPr>
          <w:p w:rsidR="005F3983" w:rsidRDefault="005F3983"/>
        </w:tc>
        <w:tc>
          <w:tcPr>
            <w:tcW w:w="5543" w:type="dxa"/>
            <w:gridSpan w:val="4"/>
            <w:shd w:val="clear" w:color="000000" w:fill="FFFFFF"/>
            <w:tcMar>
              <w:left w:w="34" w:type="dxa"/>
              <w:right w:w="34" w:type="dxa"/>
            </w:tcMar>
          </w:tcPr>
          <w:p w:rsidR="005F3983" w:rsidRDefault="005126D8">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5F3983">
        <w:trPr>
          <w:trHeight w:hRule="exact" w:val="138"/>
        </w:trPr>
        <w:tc>
          <w:tcPr>
            <w:tcW w:w="143" w:type="dxa"/>
          </w:tcPr>
          <w:p w:rsidR="005F3983" w:rsidRDefault="005F3983"/>
        </w:tc>
        <w:tc>
          <w:tcPr>
            <w:tcW w:w="285" w:type="dxa"/>
          </w:tcPr>
          <w:p w:rsidR="005F3983" w:rsidRDefault="005F3983"/>
        </w:tc>
        <w:tc>
          <w:tcPr>
            <w:tcW w:w="710" w:type="dxa"/>
          </w:tcPr>
          <w:p w:rsidR="005F3983" w:rsidRDefault="005F3983"/>
        </w:tc>
        <w:tc>
          <w:tcPr>
            <w:tcW w:w="1419" w:type="dxa"/>
          </w:tcPr>
          <w:p w:rsidR="005F3983" w:rsidRDefault="005F3983"/>
        </w:tc>
        <w:tc>
          <w:tcPr>
            <w:tcW w:w="1419" w:type="dxa"/>
          </w:tcPr>
          <w:p w:rsidR="005F3983" w:rsidRDefault="005F3983"/>
        </w:tc>
        <w:tc>
          <w:tcPr>
            <w:tcW w:w="710" w:type="dxa"/>
          </w:tcPr>
          <w:p w:rsidR="005F3983" w:rsidRDefault="005F3983"/>
        </w:tc>
        <w:tc>
          <w:tcPr>
            <w:tcW w:w="426" w:type="dxa"/>
          </w:tcPr>
          <w:p w:rsidR="005F3983" w:rsidRDefault="005F3983"/>
        </w:tc>
        <w:tc>
          <w:tcPr>
            <w:tcW w:w="1277" w:type="dxa"/>
          </w:tcPr>
          <w:p w:rsidR="005F3983" w:rsidRDefault="005F3983"/>
        </w:tc>
        <w:tc>
          <w:tcPr>
            <w:tcW w:w="993" w:type="dxa"/>
          </w:tcPr>
          <w:p w:rsidR="005F3983" w:rsidRDefault="005F3983"/>
        </w:tc>
        <w:tc>
          <w:tcPr>
            <w:tcW w:w="2836" w:type="dxa"/>
          </w:tcPr>
          <w:p w:rsidR="005F3983" w:rsidRDefault="005F3983"/>
        </w:tc>
      </w:tr>
      <w:tr w:rsidR="005F3983">
        <w:trPr>
          <w:trHeight w:hRule="exact" w:val="585"/>
        </w:trPr>
        <w:tc>
          <w:tcPr>
            <w:tcW w:w="10221" w:type="dxa"/>
            <w:gridSpan w:val="10"/>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F3983" w:rsidRDefault="005126D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F3983">
        <w:trPr>
          <w:trHeight w:hRule="exact" w:val="314"/>
        </w:trPr>
        <w:tc>
          <w:tcPr>
            <w:tcW w:w="10221" w:type="dxa"/>
            <w:gridSpan w:val="10"/>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5F3983">
        <w:trPr>
          <w:trHeight w:hRule="exact" w:val="211"/>
        </w:trPr>
        <w:tc>
          <w:tcPr>
            <w:tcW w:w="143" w:type="dxa"/>
          </w:tcPr>
          <w:p w:rsidR="005F3983" w:rsidRDefault="005F3983"/>
        </w:tc>
        <w:tc>
          <w:tcPr>
            <w:tcW w:w="285" w:type="dxa"/>
          </w:tcPr>
          <w:p w:rsidR="005F3983" w:rsidRDefault="005F3983"/>
        </w:tc>
        <w:tc>
          <w:tcPr>
            <w:tcW w:w="710" w:type="dxa"/>
          </w:tcPr>
          <w:p w:rsidR="005F3983" w:rsidRDefault="005F3983"/>
        </w:tc>
        <w:tc>
          <w:tcPr>
            <w:tcW w:w="1419" w:type="dxa"/>
          </w:tcPr>
          <w:p w:rsidR="005F3983" w:rsidRDefault="005F3983"/>
        </w:tc>
        <w:tc>
          <w:tcPr>
            <w:tcW w:w="1419" w:type="dxa"/>
          </w:tcPr>
          <w:p w:rsidR="005F3983" w:rsidRDefault="005F3983"/>
        </w:tc>
        <w:tc>
          <w:tcPr>
            <w:tcW w:w="710" w:type="dxa"/>
          </w:tcPr>
          <w:p w:rsidR="005F3983" w:rsidRDefault="005F3983"/>
        </w:tc>
        <w:tc>
          <w:tcPr>
            <w:tcW w:w="426" w:type="dxa"/>
          </w:tcPr>
          <w:p w:rsidR="005F3983" w:rsidRDefault="005F3983"/>
        </w:tc>
        <w:tc>
          <w:tcPr>
            <w:tcW w:w="1277" w:type="dxa"/>
          </w:tcPr>
          <w:p w:rsidR="005F3983" w:rsidRDefault="005F3983"/>
        </w:tc>
        <w:tc>
          <w:tcPr>
            <w:tcW w:w="993" w:type="dxa"/>
          </w:tcPr>
          <w:p w:rsidR="005F3983" w:rsidRDefault="005F3983"/>
        </w:tc>
        <w:tc>
          <w:tcPr>
            <w:tcW w:w="2836" w:type="dxa"/>
          </w:tcPr>
          <w:p w:rsidR="005F3983" w:rsidRDefault="005F3983"/>
        </w:tc>
      </w:tr>
      <w:tr w:rsidR="005F3983">
        <w:trPr>
          <w:trHeight w:hRule="exact" w:val="277"/>
        </w:trPr>
        <w:tc>
          <w:tcPr>
            <w:tcW w:w="143" w:type="dxa"/>
          </w:tcPr>
          <w:p w:rsidR="005F3983" w:rsidRDefault="005F3983"/>
        </w:tc>
        <w:tc>
          <w:tcPr>
            <w:tcW w:w="285" w:type="dxa"/>
          </w:tcPr>
          <w:p w:rsidR="005F3983" w:rsidRDefault="005F3983"/>
        </w:tc>
        <w:tc>
          <w:tcPr>
            <w:tcW w:w="710" w:type="dxa"/>
          </w:tcPr>
          <w:p w:rsidR="005F3983" w:rsidRDefault="005F3983"/>
        </w:tc>
        <w:tc>
          <w:tcPr>
            <w:tcW w:w="1419" w:type="dxa"/>
          </w:tcPr>
          <w:p w:rsidR="005F3983" w:rsidRDefault="005F3983"/>
        </w:tc>
        <w:tc>
          <w:tcPr>
            <w:tcW w:w="1419" w:type="dxa"/>
          </w:tcPr>
          <w:p w:rsidR="005F3983" w:rsidRDefault="005F3983"/>
        </w:tc>
        <w:tc>
          <w:tcPr>
            <w:tcW w:w="710" w:type="dxa"/>
          </w:tcPr>
          <w:p w:rsidR="005F3983" w:rsidRDefault="005F3983"/>
        </w:tc>
        <w:tc>
          <w:tcPr>
            <w:tcW w:w="426" w:type="dxa"/>
          </w:tcPr>
          <w:p w:rsidR="005F3983" w:rsidRDefault="005F3983"/>
        </w:tc>
        <w:tc>
          <w:tcPr>
            <w:tcW w:w="1277" w:type="dxa"/>
          </w:tcPr>
          <w:p w:rsidR="005F3983" w:rsidRDefault="005F3983"/>
        </w:tc>
        <w:tc>
          <w:tcPr>
            <w:tcW w:w="3842" w:type="dxa"/>
            <w:gridSpan w:val="2"/>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УТВЕРЖДАЮ</w:t>
            </w:r>
          </w:p>
        </w:tc>
      </w:tr>
      <w:tr w:rsidR="005F3983">
        <w:trPr>
          <w:trHeight w:hRule="exact" w:val="972"/>
        </w:trPr>
        <w:tc>
          <w:tcPr>
            <w:tcW w:w="143" w:type="dxa"/>
          </w:tcPr>
          <w:p w:rsidR="005F3983" w:rsidRDefault="005F3983"/>
        </w:tc>
        <w:tc>
          <w:tcPr>
            <w:tcW w:w="285" w:type="dxa"/>
          </w:tcPr>
          <w:p w:rsidR="005F3983" w:rsidRDefault="005F3983"/>
        </w:tc>
        <w:tc>
          <w:tcPr>
            <w:tcW w:w="710" w:type="dxa"/>
          </w:tcPr>
          <w:p w:rsidR="005F3983" w:rsidRDefault="005F3983"/>
        </w:tc>
        <w:tc>
          <w:tcPr>
            <w:tcW w:w="1419" w:type="dxa"/>
          </w:tcPr>
          <w:p w:rsidR="005F3983" w:rsidRDefault="005F3983"/>
        </w:tc>
        <w:tc>
          <w:tcPr>
            <w:tcW w:w="1419" w:type="dxa"/>
          </w:tcPr>
          <w:p w:rsidR="005F3983" w:rsidRDefault="005F3983"/>
        </w:tc>
        <w:tc>
          <w:tcPr>
            <w:tcW w:w="710" w:type="dxa"/>
          </w:tcPr>
          <w:p w:rsidR="005F3983" w:rsidRDefault="005F3983"/>
        </w:tc>
        <w:tc>
          <w:tcPr>
            <w:tcW w:w="426" w:type="dxa"/>
          </w:tcPr>
          <w:p w:rsidR="005F3983" w:rsidRDefault="005F3983"/>
        </w:tc>
        <w:tc>
          <w:tcPr>
            <w:tcW w:w="1277" w:type="dxa"/>
          </w:tcPr>
          <w:p w:rsidR="005F3983" w:rsidRDefault="005F3983"/>
        </w:tc>
        <w:tc>
          <w:tcPr>
            <w:tcW w:w="3842" w:type="dxa"/>
            <w:gridSpan w:val="2"/>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F3983" w:rsidRDefault="005F3983">
            <w:pPr>
              <w:spacing w:after="0" w:line="240" w:lineRule="auto"/>
              <w:jc w:val="center"/>
              <w:rPr>
                <w:sz w:val="24"/>
                <w:szCs w:val="24"/>
              </w:rPr>
            </w:pPr>
          </w:p>
          <w:p w:rsidR="005F3983" w:rsidRDefault="005126D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F3983">
        <w:trPr>
          <w:trHeight w:hRule="exact" w:val="277"/>
        </w:trPr>
        <w:tc>
          <w:tcPr>
            <w:tcW w:w="143" w:type="dxa"/>
          </w:tcPr>
          <w:p w:rsidR="005F3983" w:rsidRDefault="005F3983"/>
        </w:tc>
        <w:tc>
          <w:tcPr>
            <w:tcW w:w="285" w:type="dxa"/>
          </w:tcPr>
          <w:p w:rsidR="005F3983" w:rsidRDefault="005F3983"/>
        </w:tc>
        <w:tc>
          <w:tcPr>
            <w:tcW w:w="710" w:type="dxa"/>
          </w:tcPr>
          <w:p w:rsidR="005F3983" w:rsidRDefault="005F3983"/>
        </w:tc>
        <w:tc>
          <w:tcPr>
            <w:tcW w:w="1419" w:type="dxa"/>
          </w:tcPr>
          <w:p w:rsidR="005F3983" w:rsidRDefault="005F3983"/>
        </w:tc>
        <w:tc>
          <w:tcPr>
            <w:tcW w:w="1419" w:type="dxa"/>
          </w:tcPr>
          <w:p w:rsidR="005F3983" w:rsidRDefault="005F3983"/>
        </w:tc>
        <w:tc>
          <w:tcPr>
            <w:tcW w:w="710" w:type="dxa"/>
          </w:tcPr>
          <w:p w:rsidR="005F3983" w:rsidRDefault="005F3983"/>
        </w:tc>
        <w:tc>
          <w:tcPr>
            <w:tcW w:w="426" w:type="dxa"/>
          </w:tcPr>
          <w:p w:rsidR="005F3983" w:rsidRDefault="005F3983"/>
        </w:tc>
        <w:tc>
          <w:tcPr>
            <w:tcW w:w="1277" w:type="dxa"/>
          </w:tcPr>
          <w:p w:rsidR="005F3983" w:rsidRDefault="005F3983"/>
        </w:tc>
        <w:tc>
          <w:tcPr>
            <w:tcW w:w="3842" w:type="dxa"/>
            <w:gridSpan w:val="2"/>
            <w:shd w:val="clear" w:color="000000" w:fill="FFFFFF"/>
            <w:tcMar>
              <w:left w:w="34" w:type="dxa"/>
              <w:right w:w="34" w:type="dxa"/>
            </w:tcMar>
          </w:tcPr>
          <w:p w:rsidR="005F3983" w:rsidRDefault="005126D8">
            <w:pPr>
              <w:spacing w:after="0" w:line="240" w:lineRule="auto"/>
              <w:jc w:val="right"/>
              <w:rPr>
                <w:sz w:val="24"/>
                <w:szCs w:val="24"/>
              </w:rPr>
            </w:pPr>
            <w:r>
              <w:rPr>
                <w:rFonts w:ascii="Times New Roman" w:hAnsi="Times New Roman" w:cs="Times New Roman"/>
                <w:color w:val="000000"/>
                <w:sz w:val="24"/>
                <w:szCs w:val="24"/>
              </w:rPr>
              <w:t>28.03.2022</w:t>
            </w:r>
          </w:p>
        </w:tc>
      </w:tr>
      <w:tr w:rsidR="005F3983">
        <w:trPr>
          <w:trHeight w:hRule="exact" w:val="277"/>
        </w:trPr>
        <w:tc>
          <w:tcPr>
            <w:tcW w:w="143" w:type="dxa"/>
          </w:tcPr>
          <w:p w:rsidR="005F3983" w:rsidRDefault="005F3983"/>
        </w:tc>
        <w:tc>
          <w:tcPr>
            <w:tcW w:w="285" w:type="dxa"/>
          </w:tcPr>
          <w:p w:rsidR="005F3983" w:rsidRDefault="005F3983"/>
        </w:tc>
        <w:tc>
          <w:tcPr>
            <w:tcW w:w="710" w:type="dxa"/>
          </w:tcPr>
          <w:p w:rsidR="005F3983" w:rsidRDefault="005F3983"/>
        </w:tc>
        <w:tc>
          <w:tcPr>
            <w:tcW w:w="1419" w:type="dxa"/>
          </w:tcPr>
          <w:p w:rsidR="005F3983" w:rsidRDefault="005F3983"/>
        </w:tc>
        <w:tc>
          <w:tcPr>
            <w:tcW w:w="1419" w:type="dxa"/>
          </w:tcPr>
          <w:p w:rsidR="005F3983" w:rsidRDefault="005F3983"/>
        </w:tc>
        <w:tc>
          <w:tcPr>
            <w:tcW w:w="710" w:type="dxa"/>
          </w:tcPr>
          <w:p w:rsidR="005F3983" w:rsidRDefault="005F3983"/>
        </w:tc>
        <w:tc>
          <w:tcPr>
            <w:tcW w:w="426" w:type="dxa"/>
          </w:tcPr>
          <w:p w:rsidR="005F3983" w:rsidRDefault="005F3983"/>
        </w:tc>
        <w:tc>
          <w:tcPr>
            <w:tcW w:w="1277" w:type="dxa"/>
          </w:tcPr>
          <w:p w:rsidR="005F3983" w:rsidRDefault="005F3983"/>
        </w:tc>
        <w:tc>
          <w:tcPr>
            <w:tcW w:w="993" w:type="dxa"/>
          </w:tcPr>
          <w:p w:rsidR="005F3983" w:rsidRDefault="005F3983"/>
        </w:tc>
        <w:tc>
          <w:tcPr>
            <w:tcW w:w="2836" w:type="dxa"/>
          </w:tcPr>
          <w:p w:rsidR="005F3983" w:rsidRDefault="005F3983"/>
        </w:tc>
      </w:tr>
      <w:tr w:rsidR="005F3983">
        <w:trPr>
          <w:trHeight w:hRule="exact" w:val="416"/>
        </w:trPr>
        <w:tc>
          <w:tcPr>
            <w:tcW w:w="10221" w:type="dxa"/>
            <w:gridSpan w:val="10"/>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F3983">
        <w:trPr>
          <w:trHeight w:hRule="exact" w:val="1496"/>
        </w:trPr>
        <w:tc>
          <w:tcPr>
            <w:tcW w:w="143" w:type="dxa"/>
          </w:tcPr>
          <w:p w:rsidR="005F3983" w:rsidRDefault="005F3983"/>
        </w:tc>
        <w:tc>
          <w:tcPr>
            <w:tcW w:w="285" w:type="dxa"/>
          </w:tcPr>
          <w:p w:rsidR="005F3983" w:rsidRDefault="005F3983"/>
        </w:tc>
        <w:tc>
          <w:tcPr>
            <w:tcW w:w="710" w:type="dxa"/>
          </w:tcPr>
          <w:p w:rsidR="005F3983" w:rsidRDefault="005F3983"/>
        </w:tc>
        <w:tc>
          <w:tcPr>
            <w:tcW w:w="1419" w:type="dxa"/>
          </w:tcPr>
          <w:p w:rsidR="005F3983" w:rsidRDefault="005F3983"/>
        </w:tc>
        <w:tc>
          <w:tcPr>
            <w:tcW w:w="4834" w:type="dxa"/>
            <w:gridSpan w:val="5"/>
            <w:shd w:val="clear" w:color="000000" w:fill="FFFFFF"/>
            <w:tcMar>
              <w:left w:w="34" w:type="dxa"/>
              <w:right w:w="34" w:type="dxa"/>
            </w:tcMar>
          </w:tcPr>
          <w:p w:rsidR="005F3983" w:rsidRDefault="005126D8">
            <w:pPr>
              <w:spacing w:after="0" w:line="240" w:lineRule="auto"/>
              <w:jc w:val="center"/>
              <w:rPr>
                <w:sz w:val="32"/>
                <w:szCs w:val="32"/>
              </w:rPr>
            </w:pPr>
            <w:r>
              <w:rPr>
                <w:rFonts w:ascii="Times New Roman" w:hAnsi="Times New Roman" w:cs="Times New Roman"/>
                <w:color w:val="000000"/>
                <w:sz w:val="32"/>
                <w:szCs w:val="32"/>
              </w:rPr>
              <w:t>Методы оценки рисков. Международные стандарты риск -менеджмента</w:t>
            </w:r>
          </w:p>
          <w:p w:rsidR="005F3983" w:rsidRDefault="005126D8">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5F3983" w:rsidRDefault="005F3983"/>
        </w:tc>
      </w:tr>
      <w:tr w:rsidR="005F3983">
        <w:trPr>
          <w:trHeight w:hRule="exact" w:val="277"/>
        </w:trPr>
        <w:tc>
          <w:tcPr>
            <w:tcW w:w="10221" w:type="dxa"/>
            <w:gridSpan w:val="10"/>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F3983">
        <w:trPr>
          <w:trHeight w:hRule="exact" w:val="1111"/>
        </w:trPr>
        <w:tc>
          <w:tcPr>
            <w:tcW w:w="143" w:type="dxa"/>
          </w:tcPr>
          <w:p w:rsidR="005F3983" w:rsidRDefault="005F3983"/>
        </w:tc>
        <w:tc>
          <w:tcPr>
            <w:tcW w:w="285" w:type="dxa"/>
          </w:tcPr>
          <w:p w:rsidR="005F3983" w:rsidRDefault="005F3983"/>
        </w:tc>
        <w:tc>
          <w:tcPr>
            <w:tcW w:w="9795" w:type="dxa"/>
            <w:gridSpan w:val="8"/>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5F3983" w:rsidRDefault="005126D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5F3983" w:rsidRDefault="005126D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F3983">
        <w:trPr>
          <w:trHeight w:hRule="exact" w:val="833"/>
        </w:trPr>
        <w:tc>
          <w:tcPr>
            <w:tcW w:w="10221" w:type="dxa"/>
            <w:gridSpan w:val="10"/>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F3983">
        <w:trPr>
          <w:trHeight w:hRule="exact" w:val="277"/>
        </w:trPr>
        <w:tc>
          <w:tcPr>
            <w:tcW w:w="3984" w:type="dxa"/>
            <w:gridSpan w:val="5"/>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F3983" w:rsidRDefault="005F3983"/>
        </w:tc>
        <w:tc>
          <w:tcPr>
            <w:tcW w:w="426" w:type="dxa"/>
          </w:tcPr>
          <w:p w:rsidR="005F3983" w:rsidRDefault="005F3983"/>
        </w:tc>
        <w:tc>
          <w:tcPr>
            <w:tcW w:w="1277" w:type="dxa"/>
          </w:tcPr>
          <w:p w:rsidR="005F3983" w:rsidRDefault="005F3983"/>
        </w:tc>
        <w:tc>
          <w:tcPr>
            <w:tcW w:w="993" w:type="dxa"/>
          </w:tcPr>
          <w:p w:rsidR="005F3983" w:rsidRDefault="005F3983"/>
        </w:tc>
        <w:tc>
          <w:tcPr>
            <w:tcW w:w="2836" w:type="dxa"/>
          </w:tcPr>
          <w:p w:rsidR="005F3983" w:rsidRDefault="005F3983"/>
        </w:tc>
      </w:tr>
      <w:tr w:rsidR="005F3983">
        <w:trPr>
          <w:trHeight w:hRule="exact" w:val="155"/>
        </w:trPr>
        <w:tc>
          <w:tcPr>
            <w:tcW w:w="143" w:type="dxa"/>
          </w:tcPr>
          <w:p w:rsidR="005F3983" w:rsidRDefault="005F3983"/>
        </w:tc>
        <w:tc>
          <w:tcPr>
            <w:tcW w:w="285" w:type="dxa"/>
          </w:tcPr>
          <w:p w:rsidR="005F3983" w:rsidRDefault="005F3983"/>
        </w:tc>
        <w:tc>
          <w:tcPr>
            <w:tcW w:w="710" w:type="dxa"/>
          </w:tcPr>
          <w:p w:rsidR="005F3983" w:rsidRDefault="005F3983"/>
        </w:tc>
        <w:tc>
          <w:tcPr>
            <w:tcW w:w="1419" w:type="dxa"/>
          </w:tcPr>
          <w:p w:rsidR="005F3983" w:rsidRDefault="005F3983"/>
        </w:tc>
        <w:tc>
          <w:tcPr>
            <w:tcW w:w="1419" w:type="dxa"/>
          </w:tcPr>
          <w:p w:rsidR="005F3983" w:rsidRDefault="005F3983"/>
        </w:tc>
        <w:tc>
          <w:tcPr>
            <w:tcW w:w="710" w:type="dxa"/>
          </w:tcPr>
          <w:p w:rsidR="005F3983" w:rsidRDefault="005F3983"/>
        </w:tc>
        <w:tc>
          <w:tcPr>
            <w:tcW w:w="426" w:type="dxa"/>
          </w:tcPr>
          <w:p w:rsidR="005F3983" w:rsidRDefault="005F3983"/>
        </w:tc>
        <w:tc>
          <w:tcPr>
            <w:tcW w:w="1277" w:type="dxa"/>
          </w:tcPr>
          <w:p w:rsidR="005F3983" w:rsidRDefault="005F3983"/>
        </w:tc>
        <w:tc>
          <w:tcPr>
            <w:tcW w:w="993" w:type="dxa"/>
          </w:tcPr>
          <w:p w:rsidR="005F3983" w:rsidRDefault="005F3983"/>
        </w:tc>
        <w:tc>
          <w:tcPr>
            <w:tcW w:w="2836" w:type="dxa"/>
          </w:tcPr>
          <w:p w:rsidR="005F3983" w:rsidRDefault="005F3983"/>
        </w:tc>
      </w:tr>
      <w:tr w:rsidR="005F39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ФИНАНСЫ И ЭКОНОМИКА</w:t>
            </w:r>
          </w:p>
        </w:tc>
      </w:tr>
      <w:tr w:rsidR="005F39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5F398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5F398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F3983" w:rsidRDefault="005F398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F3983"/>
        </w:tc>
      </w:tr>
      <w:tr w:rsidR="005F3983">
        <w:trPr>
          <w:trHeight w:hRule="exact" w:val="124"/>
        </w:trPr>
        <w:tc>
          <w:tcPr>
            <w:tcW w:w="143" w:type="dxa"/>
          </w:tcPr>
          <w:p w:rsidR="005F3983" w:rsidRDefault="005F3983"/>
        </w:tc>
        <w:tc>
          <w:tcPr>
            <w:tcW w:w="285" w:type="dxa"/>
          </w:tcPr>
          <w:p w:rsidR="005F3983" w:rsidRDefault="005F3983"/>
        </w:tc>
        <w:tc>
          <w:tcPr>
            <w:tcW w:w="710" w:type="dxa"/>
          </w:tcPr>
          <w:p w:rsidR="005F3983" w:rsidRDefault="005F3983"/>
        </w:tc>
        <w:tc>
          <w:tcPr>
            <w:tcW w:w="1419" w:type="dxa"/>
          </w:tcPr>
          <w:p w:rsidR="005F3983" w:rsidRDefault="005F3983"/>
        </w:tc>
        <w:tc>
          <w:tcPr>
            <w:tcW w:w="1419" w:type="dxa"/>
          </w:tcPr>
          <w:p w:rsidR="005F3983" w:rsidRDefault="005F3983"/>
        </w:tc>
        <w:tc>
          <w:tcPr>
            <w:tcW w:w="710" w:type="dxa"/>
          </w:tcPr>
          <w:p w:rsidR="005F3983" w:rsidRDefault="005F3983"/>
        </w:tc>
        <w:tc>
          <w:tcPr>
            <w:tcW w:w="426" w:type="dxa"/>
          </w:tcPr>
          <w:p w:rsidR="005F3983" w:rsidRDefault="005F3983"/>
        </w:tc>
        <w:tc>
          <w:tcPr>
            <w:tcW w:w="1277" w:type="dxa"/>
          </w:tcPr>
          <w:p w:rsidR="005F3983" w:rsidRDefault="005F3983"/>
        </w:tc>
        <w:tc>
          <w:tcPr>
            <w:tcW w:w="993" w:type="dxa"/>
          </w:tcPr>
          <w:p w:rsidR="005F3983" w:rsidRDefault="005F3983"/>
        </w:tc>
        <w:tc>
          <w:tcPr>
            <w:tcW w:w="2836" w:type="dxa"/>
          </w:tcPr>
          <w:p w:rsidR="005F3983" w:rsidRDefault="005F3983"/>
        </w:tc>
      </w:tr>
      <w:tr w:rsidR="005F3983">
        <w:trPr>
          <w:trHeight w:hRule="exact" w:val="277"/>
        </w:trPr>
        <w:tc>
          <w:tcPr>
            <w:tcW w:w="5118" w:type="dxa"/>
            <w:gridSpan w:val="7"/>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5F3983">
        <w:trPr>
          <w:trHeight w:hRule="exact" w:val="577"/>
        </w:trPr>
        <w:tc>
          <w:tcPr>
            <w:tcW w:w="143" w:type="dxa"/>
          </w:tcPr>
          <w:p w:rsidR="005F3983" w:rsidRDefault="005F3983"/>
        </w:tc>
        <w:tc>
          <w:tcPr>
            <w:tcW w:w="285" w:type="dxa"/>
          </w:tcPr>
          <w:p w:rsidR="005F3983" w:rsidRDefault="005F3983"/>
        </w:tc>
        <w:tc>
          <w:tcPr>
            <w:tcW w:w="710" w:type="dxa"/>
          </w:tcPr>
          <w:p w:rsidR="005F3983" w:rsidRDefault="005F3983"/>
        </w:tc>
        <w:tc>
          <w:tcPr>
            <w:tcW w:w="1419" w:type="dxa"/>
          </w:tcPr>
          <w:p w:rsidR="005F3983" w:rsidRDefault="005F3983"/>
        </w:tc>
        <w:tc>
          <w:tcPr>
            <w:tcW w:w="1419" w:type="dxa"/>
          </w:tcPr>
          <w:p w:rsidR="005F3983" w:rsidRDefault="005F3983"/>
        </w:tc>
        <w:tc>
          <w:tcPr>
            <w:tcW w:w="710" w:type="dxa"/>
          </w:tcPr>
          <w:p w:rsidR="005F3983" w:rsidRDefault="005F3983"/>
        </w:tc>
        <w:tc>
          <w:tcPr>
            <w:tcW w:w="426" w:type="dxa"/>
          </w:tcPr>
          <w:p w:rsidR="005F3983" w:rsidRDefault="005F3983"/>
        </w:tc>
        <w:tc>
          <w:tcPr>
            <w:tcW w:w="5118" w:type="dxa"/>
            <w:gridSpan w:val="3"/>
            <w:vMerge/>
            <w:shd w:val="clear" w:color="000000" w:fill="FFFFFF"/>
            <w:tcMar>
              <w:left w:w="34" w:type="dxa"/>
              <w:right w:w="34" w:type="dxa"/>
            </w:tcMar>
          </w:tcPr>
          <w:p w:rsidR="005F3983" w:rsidRDefault="005F3983"/>
        </w:tc>
      </w:tr>
      <w:tr w:rsidR="005F3983">
        <w:trPr>
          <w:trHeight w:hRule="exact" w:val="1980"/>
        </w:trPr>
        <w:tc>
          <w:tcPr>
            <w:tcW w:w="143" w:type="dxa"/>
          </w:tcPr>
          <w:p w:rsidR="005F3983" w:rsidRDefault="005F3983"/>
        </w:tc>
        <w:tc>
          <w:tcPr>
            <w:tcW w:w="285" w:type="dxa"/>
          </w:tcPr>
          <w:p w:rsidR="005F3983" w:rsidRDefault="005F3983"/>
        </w:tc>
        <w:tc>
          <w:tcPr>
            <w:tcW w:w="710" w:type="dxa"/>
          </w:tcPr>
          <w:p w:rsidR="005F3983" w:rsidRDefault="005F3983"/>
        </w:tc>
        <w:tc>
          <w:tcPr>
            <w:tcW w:w="1419" w:type="dxa"/>
          </w:tcPr>
          <w:p w:rsidR="005F3983" w:rsidRDefault="005F3983"/>
        </w:tc>
        <w:tc>
          <w:tcPr>
            <w:tcW w:w="1419" w:type="dxa"/>
          </w:tcPr>
          <w:p w:rsidR="005F3983" w:rsidRDefault="005F3983"/>
        </w:tc>
        <w:tc>
          <w:tcPr>
            <w:tcW w:w="710" w:type="dxa"/>
          </w:tcPr>
          <w:p w:rsidR="005F3983" w:rsidRDefault="005F3983"/>
        </w:tc>
        <w:tc>
          <w:tcPr>
            <w:tcW w:w="426" w:type="dxa"/>
          </w:tcPr>
          <w:p w:rsidR="005F3983" w:rsidRDefault="005F3983"/>
        </w:tc>
        <w:tc>
          <w:tcPr>
            <w:tcW w:w="1277" w:type="dxa"/>
          </w:tcPr>
          <w:p w:rsidR="005F3983" w:rsidRDefault="005F3983"/>
        </w:tc>
        <w:tc>
          <w:tcPr>
            <w:tcW w:w="993" w:type="dxa"/>
          </w:tcPr>
          <w:p w:rsidR="005F3983" w:rsidRDefault="005F3983"/>
        </w:tc>
        <w:tc>
          <w:tcPr>
            <w:tcW w:w="2836" w:type="dxa"/>
          </w:tcPr>
          <w:p w:rsidR="005F3983" w:rsidRDefault="005F3983"/>
        </w:tc>
      </w:tr>
      <w:tr w:rsidR="005F3983">
        <w:trPr>
          <w:trHeight w:hRule="exact" w:val="277"/>
        </w:trPr>
        <w:tc>
          <w:tcPr>
            <w:tcW w:w="143" w:type="dxa"/>
          </w:tcPr>
          <w:p w:rsidR="005F3983" w:rsidRDefault="005F3983"/>
        </w:tc>
        <w:tc>
          <w:tcPr>
            <w:tcW w:w="10079" w:type="dxa"/>
            <w:gridSpan w:val="9"/>
            <w:vMerge w:val="restart"/>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F3983">
        <w:trPr>
          <w:trHeight w:hRule="exact" w:val="138"/>
        </w:trPr>
        <w:tc>
          <w:tcPr>
            <w:tcW w:w="143" w:type="dxa"/>
          </w:tcPr>
          <w:p w:rsidR="005F3983" w:rsidRDefault="005F3983"/>
        </w:tc>
        <w:tc>
          <w:tcPr>
            <w:tcW w:w="10079" w:type="dxa"/>
            <w:gridSpan w:val="9"/>
            <w:vMerge/>
            <w:shd w:val="clear" w:color="000000" w:fill="FFFFFF"/>
            <w:tcMar>
              <w:left w:w="34" w:type="dxa"/>
              <w:right w:w="34" w:type="dxa"/>
            </w:tcMar>
          </w:tcPr>
          <w:p w:rsidR="005F3983" w:rsidRDefault="005F3983"/>
        </w:tc>
      </w:tr>
      <w:tr w:rsidR="005F3983">
        <w:trPr>
          <w:trHeight w:hRule="exact" w:val="1666"/>
        </w:trPr>
        <w:tc>
          <w:tcPr>
            <w:tcW w:w="143" w:type="dxa"/>
          </w:tcPr>
          <w:p w:rsidR="005F3983" w:rsidRDefault="005F3983"/>
        </w:tc>
        <w:tc>
          <w:tcPr>
            <w:tcW w:w="10079" w:type="dxa"/>
            <w:gridSpan w:val="9"/>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F3983" w:rsidRDefault="005F3983">
            <w:pPr>
              <w:spacing w:after="0" w:line="240" w:lineRule="auto"/>
              <w:jc w:val="center"/>
              <w:rPr>
                <w:sz w:val="24"/>
                <w:szCs w:val="24"/>
              </w:rPr>
            </w:pPr>
          </w:p>
          <w:p w:rsidR="005F3983" w:rsidRDefault="005126D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F3983" w:rsidRDefault="005F3983">
            <w:pPr>
              <w:spacing w:after="0" w:line="240" w:lineRule="auto"/>
              <w:jc w:val="center"/>
              <w:rPr>
                <w:sz w:val="24"/>
                <w:szCs w:val="24"/>
              </w:rPr>
            </w:pPr>
          </w:p>
          <w:p w:rsidR="005F3983" w:rsidRDefault="005126D8">
            <w:pPr>
              <w:spacing w:after="0" w:line="240" w:lineRule="auto"/>
              <w:jc w:val="center"/>
              <w:rPr>
                <w:sz w:val="24"/>
                <w:szCs w:val="24"/>
              </w:rPr>
            </w:pPr>
            <w:r>
              <w:rPr>
                <w:rFonts w:ascii="Times New Roman" w:hAnsi="Times New Roman" w:cs="Times New Roman"/>
                <w:color w:val="000000"/>
                <w:sz w:val="24"/>
                <w:szCs w:val="24"/>
              </w:rPr>
              <w:t>Омск, 2022</w:t>
            </w:r>
          </w:p>
        </w:tc>
      </w:tr>
    </w:tbl>
    <w:p w:rsidR="005F3983" w:rsidRDefault="005126D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F3983">
        <w:trPr>
          <w:trHeight w:hRule="exact" w:val="2222"/>
        </w:trPr>
        <w:tc>
          <w:tcPr>
            <w:tcW w:w="10788"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lastRenderedPageBreak/>
              <w:t>Составитель:</w:t>
            </w:r>
          </w:p>
          <w:p w:rsidR="005F3983" w:rsidRDefault="005F3983">
            <w:pPr>
              <w:spacing w:after="0" w:line="240" w:lineRule="auto"/>
              <w:rPr>
                <w:sz w:val="24"/>
                <w:szCs w:val="24"/>
              </w:rPr>
            </w:pPr>
          </w:p>
          <w:p w:rsidR="005F3983" w:rsidRDefault="005126D8">
            <w:pPr>
              <w:spacing w:after="0" w:line="240" w:lineRule="auto"/>
              <w:rPr>
                <w:sz w:val="24"/>
                <w:szCs w:val="24"/>
              </w:rPr>
            </w:pPr>
            <w:r>
              <w:rPr>
                <w:rFonts w:ascii="Times New Roman" w:hAnsi="Times New Roman" w:cs="Times New Roman"/>
                <w:color w:val="000000"/>
                <w:sz w:val="24"/>
                <w:szCs w:val="24"/>
              </w:rPr>
              <w:t>д.э.н., доцент _________________ /Сергиенко О.В./</w:t>
            </w:r>
          </w:p>
          <w:p w:rsidR="005F3983" w:rsidRDefault="005F3983">
            <w:pPr>
              <w:spacing w:after="0" w:line="240" w:lineRule="auto"/>
              <w:rPr>
                <w:sz w:val="24"/>
                <w:szCs w:val="24"/>
              </w:rPr>
            </w:pPr>
          </w:p>
          <w:p w:rsidR="005F3983" w:rsidRDefault="005126D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5F3983" w:rsidRDefault="005126D8">
            <w:pPr>
              <w:spacing w:after="0" w:line="240" w:lineRule="auto"/>
              <w:rPr>
                <w:sz w:val="24"/>
                <w:szCs w:val="24"/>
              </w:rPr>
            </w:pPr>
            <w:r>
              <w:rPr>
                <w:rFonts w:ascii="Times New Roman" w:hAnsi="Times New Roman" w:cs="Times New Roman"/>
                <w:color w:val="000000"/>
                <w:sz w:val="24"/>
                <w:szCs w:val="24"/>
              </w:rPr>
              <w:t>Протокол от 25.03.2022 г.  №8</w:t>
            </w:r>
          </w:p>
        </w:tc>
      </w:tr>
      <w:tr w:rsidR="005F3983">
        <w:trPr>
          <w:trHeight w:hRule="exact" w:val="277"/>
        </w:trPr>
        <w:tc>
          <w:tcPr>
            <w:tcW w:w="10788"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5F3983" w:rsidRDefault="0051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3983">
        <w:trPr>
          <w:trHeight w:hRule="exact" w:val="277"/>
        </w:trPr>
        <w:tc>
          <w:tcPr>
            <w:tcW w:w="9654" w:type="dxa"/>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F3983">
        <w:trPr>
          <w:trHeight w:hRule="exact" w:val="555"/>
        </w:trPr>
        <w:tc>
          <w:tcPr>
            <w:tcW w:w="9640" w:type="dxa"/>
          </w:tcPr>
          <w:p w:rsidR="005F3983" w:rsidRDefault="005F3983"/>
        </w:tc>
      </w:tr>
      <w:tr w:rsidR="005F3983">
        <w:trPr>
          <w:trHeight w:hRule="exact" w:val="8751"/>
        </w:trPr>
        <w:tc>
          <w:tcPr>
            <w:tcW w:w="9654"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F3983" w:rsidRDefault="005126D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F3983" w:rsidRDefault="005126D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F3983" w:rsidRDefault="005126D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F3983" w:rsidRDefault="005126D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F3983" w:rsidRDefault="005126D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F3983" w:rsidRDefault="005126D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F3983" w:rsidRDefault="005126D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F3983" w:rsidRDefault="005126D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F3983" w:rsidRDefault="005126D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F3983" w:rsidRDefault="005126D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F3983" w:rsidRDefault="005126D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F3983" w:rsidRDefault="0051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3983">
        <w:trPr>
          <w:trHeight w:hRule="exact" w:val="277"/>
        </w:trPr>
        <w:tc>
          <w:tcPr>
            <w:tcW w:w="9654"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F3983">
        <w:trPr>
          <w:trHeight w:hRule="exact" w:val="15113"/>
        </w:trPr>
        <w:tc>
          <w:tcPr>
            <w:tcW w:w="9654" w:type="dxa"/>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F3983" w:rsidRDefault="005126D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5F3983" w:rsidRDefault="005126D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F3983" w:rsidRDefault="005126D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F3983" w:rsidRDefault="005126D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3983" w:rsidRDefault="005126D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3983" w:rsidRDefault="005126D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F3983" w:rsidRDefault="005126D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3983" w:rsidRDefault="005126D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3983" w:rsidRDefault="005126D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5F3983" w:rsidRDefault="005126D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«Методы оценки рисков. Международные стандарты риск-менеджмента» в течение 2022/2023 учебного года:</w:t>
            </w:r>
          </w:p>
          <w:p w:rsidR="005F3983" w:rsidRDefault="005126D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5F3983" w:rsidRDefault="0051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3983">
        <w:trPr>
          <w:trHeight w:hRule="exact" w:val="285"/>
        </w:trPr>
        <w:tc>
          <w:tcPr>
            <w:tcW w:w="9654" w:type="dxa"/>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5F3983">
        <w:trPr>
          <w:trHeight w:hRule="exact" w:val="138"/>
        </w:trPr>
        <w:tc>
          <w:tcPr>
            <w:tcW w:w="9640" w:type="dxa"/>
          </w:tcPr>
          <w:p w:rsidR="005F3983" w:rsidRDefault="005F3983"/>
        </w:tc>
      </w:tr>
      <w:tr w:rsidR="005F3983">
        <w:trPr>
          <w:trHeight w:hRule="exact" w:val="1396"/>
        </w:trPr>
        <w:tc>
          <w:tcPr>
            <w:tcW w:w="9654"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b/>
                <w:color w:val="000000"/>
                <w:sz w:val="24"/>
                <w:szCs w:val="24"/>
              </w:rPr>
              <w:t>1. Наименование дисциплины: К.М.04.02 «Методы оценки рисков. Международные стандарты риск-менеджмента».</w:t>
            </w:r>
          </w:p>
          <w:p w:rsidR="005F3983" w:rsidRDefault="005126D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F3983">
        <w:trPr>
          <w:trHeight w:hRule="exact" w:val="138"/>
        </w:trPr>
        <w:tc>
          <w:tcPr>
            <w:tcW w:w="9640" w:type="dxa"/>
          </w:tcPr>
          <w:p w:rsidR="005F3983" w:rsidRDefault="005F3983"/>
        </w:tc>
      </w:tr>
      <w:tr w:rsidR="005F3983">
        <w:trPr>
          <w:trHeight w:hRule="exact" w:val="3530"/>
        </w:trPr>
        <w:tc>
          <w:tcPr>
            <w:tcW w:w="9654" w:type="dxa"/>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F3983" w:rsidRDefault="005126D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«Методы оценки рисков. Международные стандарты риск -менеджмента»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F3983">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b/>
                <w:color w:val="000000"/>
                <w:sz w:val="24"/>
                <w:szCs w:val="24"/>
              </w:rPr>
              <w:t>Код компетенции: ПК-4</w:t>
            </w:r>
          </w:p>
          <w:p w:rsidR="005F3983" w:rsidRDefault="005126D8">
            <w:pPr>
              <w:spacing w:after="0" w:line="240" w:lineRule="auto"/>
              <w:rPr>
                <w:sz w:val="24"/>
                <w:szCs w:val="24"/>
              </w:rPr>
            </w:pPr>
            <w:r>
              <w:rPr>
                <w:rFonts w:ascii="Times New Roman" w:hAnsi="Times New Roman" w:cs="Times New Roman"/>
                <w:b/>
                <w:color w:val="000000"/>
                <w:sz w:val="24"/>
                <w:szCs w:val="24"/>
              </w:rPr>
              <w:t>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rsidR="005F3983">
        <w:trPr>
          <w:trHeight w:hRule="exact" w:val="585"/>
        </w:trPr>
        <w:tc>
          <w:tcPr>
            <w:tcW w:w="9654" w:type="dxa"/>
            <w:shd w:val="clear" w:color="000000" w:fill="FFFFFF"/>
            <w:tcMar>
              <w:left w:w="34" w:type="dxa"/>
              <w:right w:w="34" w:type="dxa"/>
            </w:tcMar>
          </w:tcPr>
          <w:p w:rsidR="005F3983" w:rsidRDefault="005F3983">
            <w:pPr>
              <w:spacing w:after="0" w:line="240" w:lineRule="auto"/>
              <w:rPr>
                <w:sz w:val="24"/>
                <w:szCs w:val="24"/>
              </w:rPr>
            </w:pPr>
          </w:p>
          <w:p w:rsidR="005F3983" w:rsidRDefault="005126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F3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ПК-4.1 знать  методики  управления разными видами рисков в соответствии с принятой в организации классификацией рисков, классификацию рисков организации</w:t>
            </w:r>
          </w:p>
        </w:tc>
      </w:tr>
      <w:tr w:rsidR="005F3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ПК-4.2 знать положения международных стандартов по риск-менеджменту и смежным вопросам</w:t>
            </w:r>
          </w:p>
        </w:tc>
      </w:tr>
      <w:tr w:rsidR="005F39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ПК-4.3 знать способы управления рисками и мероприятия по управлению рисками</w:t>
            </w:r>
          </w:p>
        </w:tc>
      </w:tr>
      <w:tr w:rsidR="005F3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ПК-4.9 уметь  организовывать процесс управления рисками в организации с учетом отраслевых стандартов</w:t>
            </w:r>
          </w:p>
        </w:tc>
      </w:tr>
      <w:tr w:rsidR="005F3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ПК-4.10 уметь  осуществлять расчеты, прогнозировать, тестировать и верифицировать методики управления рисками с учетом отраслевой специфики</w:t>
            </w:r>
          </w:p>
        </w:tc>
      </w:tr>
      <w:tr w:rsidR="005F3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ПК-4.11 уметь производить проверку эффективности управления отдельными видами рисков</w:t>
            </w:r>
          </w:p>
        </w:tc>
      </w:tr>
      <w:tr w:rsidR="005F39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ПК-4.12 уметь  контролировать меры воздействия на риск</w:t>
            </w:r>
          </w:p>
        </w:tc>
      </w:tr>
      <w:tr w:rsidR="005F3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ПК-4.15 владеть навыками разработки методик управления разными видами рисков в соответствии с принятой в организации классификацией рисков</w:t>
            </w:r>
          </w:p>
        </w:tc>
      </w:tr>
      <w:tr w:rsidR="005F3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rsidR="005F39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rsidR="005F39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rsidR="005F3983">
        <w:trPr>
          <w:trHeight w:hRule="exact" w:val="416"/>
        </w:trPr>
        <w:tc>
          <w:tcPr>
            <w:tcW w:w="9640" w:type="dxa"/>
          </w:tcPr>
          <w:p w:rsidR="005F3983" w:rsidRDefault="005F3983"/>
        </w:tc>
      </w:tr>
      <w:tr w:rsidR="005F3983">
        <w:trPr>
          <w:trHeight w:hRule="exact" w:val="304"/>
        </w:trPr>
        <w:tc>
          <w:tcPr>
            <w:tcW w:w="9654"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F3983">
        <w:trPr>
          <w:trHeight w:hRule="exact" w:val="492"/>
        </w:trPr>
        <w:tc>
          <w:tcPr>
            <w:tcW w:w="9654" w:type="dxa"/>
            <w:shd w:val="clear" w:color="000000" w:fill="FFFFFF"/>
            <w:tcMar>
              <w:left w:w="34" w:type="dxa"/>
              <w:right w:w="34" w:type="dxa"/>
            </w:tcMar>
          </w:tcPr>
          <w:p w:rsidR="005F3983" w:rsidRDefault="005F3983"/>
        </w:tc>
      </w:tr>
    </w:tbl>
    <w:p w:rsidR="005F3983" w:rsidRDefault="005126D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F3983">
        <w:trPr>
          <w:trHeight w:hRule="exact" w:val="1366"/>
        </w:trPr>
        <w:tc>
          <w:tcPr>
            <w:tcW w:w="9654" w:type="dxa"/>
            <w:gridSpan w:val="7"/>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lastRenderedPageBreak/>
              <w:t>Дисциплина К.М.04.02 «Методы оценки рисков. Международные стандарты риск- менеджмента»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rsidR="005F3983">
        <w:trPr>
          <w:trHeight w:hRule="exact" w:val="138"/>
        </w:trPr>
        <w:tc>
          <w:tcPr>
            <w:tcW w:w="3970" w:type="dxa"/>
          </w:tcPr>
          <w:p w:rsidR="005F3983" w:rsidRDefault="005F3983"/>
        </w:tc>
        <w:tc>
          <w:tcPr>
            <w:tcW w:w="1702" w:type="dxa"/>
          </w:tcPr>
          <w:p w:rsidR="005F3983" w:rsidRDefault="005F3983"/>
        </w:tc>
        <w:tc>
          <w:tcPr>
            <w:tcW w:w="1702" w:type="dxa"/>
          </w:tcPr>
          <w:p w:rsidR="005F3983" w:rsidRDefault="005F3983"/>
        </w:tc>
        <w:tc>
          <w:tcPr>
            <w:tcW w:w="426" w:type="dxa"/>
          </w:tcPr>
          <w:p w:rsidR="005F3983" w:rsidRDefault="005F3983"/>
        </w:tc>
        <w:tc>
          <w:tcPr>
            <w:tcW w:w="710" w:type="dxa"/>
          </w:tcPr>
          <w:p w:rsidR="005F3983" w:rsidRDefault="005F3983"/>
        </w:tc>
        <w:tc>
          <w:tcPr>
            <w:tcW w:w="143" w:type="dxa"/>
          </w:tcPr>
          <w:p w:rsidR="005F3983" w:rsidRDefault="005F3983"/>
        </w:tc>
        <w:tc>
          <w:tcPr>
            <w:tcW w:w="993" w:type="dxa"/>
          </w:tcPr>
          <w:p w:rsidR="005F3983" w:rsidRDefault="005F3983"/>
        </w:tc>
      </w:tr>
      <w:tr w:rsidR="005F398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983" w:rsidRDefault="005126D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983" w:rsidRDefault="005126D8">
            <w:pPr>
              <w:spacing w:after="0" w:line="240" w:lineRule="auto"/>
              <w:jc w:val="center"/>
              <w:rPr>
                <w:sz w:val="24"/>
                <w:szCs w:val="24"/>
              </w:rPr>
            </w:pPr>
            <w:r>
              <w:rPr>
                <w:rFonts w:ascii="Times New Roman" w:hAnsi="Times New Roman" w:cs="Times New Roman"/>
                <w:color w:val="000000"/>
                <w:sz w:val="24"/>
                <w:szCs w:val="24"/>
              </w:rPr>
              <w:t>Коды</w:t>
            </w:r>
          </w:p>
          <w:p w:rsidR="005F3983" w:rsidRDefault="005126D8">
            <w:pPr>
              <w:spacing w:after="0" w:line="240" w:lineRule="auto"/>
              <w:jc w:val="center"/>
              <w:rPr>
                <w:sz w:val="24"/>
                <w:szCs w:val="24"/>
              </w:rPr>
            </w:pPr>
            <w:r>
              <w:rPr>
                <w:rFonts w:ascii="Times New Roman" w:hAnsi="Times New Roman" w:cs="Times New Roman"/>
                <w:color w:val="000000"/>
                <w:sz w:val="24"/>
                <w:szCs w:val="24"/>
              </w:rPr>
              <w:t>форми-</w:t>
            </w:r>
          </w:p>
          <w:p w:rsidR="005F3983" w:rsidRDefault="005126D8">
            <w:pPr>
              <w:spacing w:after="0" w:line="240" w:lineRule="auto"/>
              <w:jc w:val="center"/>
              <w:rPr>
                <w:sz w:val="24"/>
                <w:szCs w:val="24"/>
              </w:rPr>
            </w:pPr>
            <w:r>
              <w:rPr>
                <w:rFonts w:ascii="Times New Roman" w:hAnsi="Times New Roman" w:cs="Times New Roman"/>
                <w:color w:val="000000"/>
                <w:sz w:val="24"/>
                <w:szCs w:val="24"/>
              </w:rPr>
              <w:t>руемых</w:t>
            </w:r>
          </w:p>
          <w:p w:rsidR="005F3983" w:rsidRDefault="005126D8">
            <w:pPr>
              <w:spacing w:after="0" w:line="240" w:lineRule="auto"/>
              <w:jc w:val="center"/>
              <w:rPr>
                <w:sz w:val="24"/>
                <w:szCs w:val="24"/>
              </w:rPr>
            </w:pPr>
            <w:r>
              <w:rPr>
                <w:rFonts w:ascii="Times New Roman" w:hAnsi="Times New Roman" w:cs="Times New Roman"/>
                <w:color w:val="000000"/>
                <w:sz w:val="24"/>
                <w:szCs w:val="24"/>
              </w:rPr>
              <w:t>компе-</w:t>
            </w:r>
          </w:p>
          <w:p w:rsidR="005F3983" w:rsidRDefault="005126D8">
            <w:pPr>
              <w:spacing w:after="0" w:line="240" w:lineRule="auto"/>
              <w:jc w:val="center"/>
              <w:rPr>
                <w:sz w:val="24"/>
                <w:szCs w:val="24"/>
              </w:rPr>
            </w:pPr>
            <w:r>
              <w:rPr>
                <w:rFonts w:ascii="Times New Roman" w:hAnsi="Times New Roman" w:cs="Times New Roman"/>
                <w:color w:val="000000"/>
                <w:sz w:val="24"/>
                <w:szCs w:val="24"/>
              </w:rPr>
              <w:t>тенций</w:t>
            </w:r>
          </w:p>
        </w:tc>
      </w:tr>
      <w:tr w:rsidR="005F398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983" w:rsidRDefault="005126D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983" w:rsidRDefault="005F3983"/>
        </w:tc>
      </w:tr>
      <w:tr w:rsidR="005F398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983" w:rsidRDefault="005126D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983" w:rsidRDefault="005126D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983" w:rsidRDefault="005F3983"/>
        </w:tc>
      </w:tr>
      <w:tr w:rsidR="005F3983">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983" w:rsidRDefault="005126D8">
            <w:pPr>
              <w:spacing w:after="0" w:line="240" w:lineRule="auto"/>
              <w:jc w:val="center"/>
            </w:pPr>
            <w:r>
              <w:rPr>
                <w:rFonts w:ascii="Times New Roman" w:hAnsi="Times New Roman" w:cs="Times New Roman"/>
                <w:color w:val="000000"/>
              </w:rPr>
              <w:t>Международное и национальное законодательство и отраслевые стандарты по управлению рисками</w:t>
            </w:r>
          </w:p>
          <w:p w:rsidR="005F3983" w:rsidRDefault="005126D8">
            <w:pPr>
              <w:spacing w:after="0" w:line="240" w:lineRule="auto"/>
              <w:jc w:val="center"/>
            </w:pPr>
            <w:r>
              <w:rPr>
                <w:rFonts w:ascii="Times New Roman" w:hAnsi="Times New Roman" w:cs="Times New Roman"/>
                <w:color w:val="000000"/>
              </w:rPr>
              <w:t>Методическая и нормативная база системы управления рисками: теория и практика</w:t>
            </w:r>
          </w:p>
          <w:p w:rsidR="005F3983" w:rsidRDefault="005126D8">
            <w:pPr>
              <w:spacing w:after="0" w:line="240" w:lineRule="auto"/>
              <w:jc w:val="center"/>
            </w:pPr>
            <w:r>
              <w:rPr>
                <w:rFonts w:ascii="Times New Roman" w:hAnsi="Times New Roman" w:cs="Times New Roman"/>
                <w:color w:val="000000"/>
              </w:rPr>
              <w:t>Риск-менеджмент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983" w:rsidRDefault="005126D8">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4)</w:t>
            </w:r>
          </w:p>
          <w:p w:rsidR="005F3983" w:rsidRDefault="005126D8">
            <w:pPr>
              <w:spacing w:after="0" w:line="240" w:lineRule="auto"/>
              <w:jc w:val="center"/>
            </w:pPr>
            <w:r>
              <w:rPr>
                <w:rFonts w:ascii="Times New Roman" w:hAnsi="Times New Roman" w:cs="Times New Roman"/>
                <w:color w:val="000000"/>
              </w:rPr>
              <w:t>Риски в управлении персоналом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983" w:rsidRDefault="005126D8">
            <w:pPr>
              <w:spacing w:after="0" w:line="240" w:lineRule="auto"/>
              <w:jc w:val="center"/>
              <w:rPr>
                <w:sz w:val="24"/>
                <w:szCs w:val="24"/>
              </w:rPr>
            </w:pPr>
            <w:r>
              <w:rPr>
                <w:rFonts w:ascii="Times New Roman" w:hAnsi="Times New Roman" w:cs="Times New Roman"/>
                <w:color w:val="000000"/>
                <w:sz w:val="24"/>
                <w:szCs w:val="24"/>
              </w:rPr>
              <w:t>ПК-4</w:t>
            </w:r>
          </w:p>
        </w:tc>
      </w:tr>
      <w:tr w:rsidR="005F3983">
        <w:trPr>
          <w:trHeight w:hRule="exact" w:val="138"/>
        </w:trPr>
        <w:tc>
          <w:tcPr>
            <w:tcW w:w="3970" w:type="dxa"/>
          </w:tcPr>
          <w:p w:rsidR="005F3983" w:rsidRDefault="005F3983"/>
        </w:tc>
        <w:tc>
          <w:tcPr>
            <w:tcW w:w="1702" w:type="dxa"/>
          </w:tcPr>
          <w:p w:rsidR="005F3983" w:rsidRDefault="005F3983"/>
        </w:tc>
        <w:tc>
          <w:tcPr>
            <w:tcW w:w="1702" w:type="dxa"/>
          </w:tcPr>
          <w:p w:rsidR="005F3983" w:rsidRDefault="005F3983"/>
        </w:tc>
        <w:tc>
          <w:tcPr>
            <w:tcW w:w="426" w:type="dxa"/>
          </w:tcPr>
          <w:p w:rsidR="005F3983" w:rsidRDefault="005F3983"/>
        </w:tc>
        <w:tc>
          <w:tcPr>
            <w:tcW w:w="710" w:type="dxa"/>
          </w:tcPr>
          <w:p w:rsidR="005F3983" w:rsidRDefault="005F3983"/>
        </w:tc>
        <w:tc>
          <w:tcPr>
            <w:tcW w:w="143" w:type="dxa"/>
          </w:tcPr>
          <w:p w:rsidR="005F3983" w:rsidRDefault="005F3983"/>
        </w:tc>
        <w:tc>
          <w:tcPr>
            <w:tcW w:w="993" w:type="dxa"/>
          </w:tcPr>
          <w:p w:rsidR="005F3983" w:rsidRDefault="005F3983"/>
        </w:tc>
      </w:tr>
      <w:tr w:rsidR="005F3983">
        <w:trPr>
          <w:trHeight w:hRule="exact" w:val="1125"/>
        </w:trPr>
        <w:tc>
          <w:tcPr>
            <w:tcW w:w="9654" w:type="dxa"/>
            <w:gridSpan w:val="7"/>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F3983">
        <w:trPr>
          <w:trHeight w:hRule="exact" w:val="585"/>
        </w:trPr>
        <w:tc>
          <w:tcPr>
            <w:tcW w:w="9654" w:type="dxa"/>
            <w:gridSpan w:val="7"/>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5F3983" w:rsidRDefault="005126D8">
            <w:pPr>
              <w:spacing w:after="0" w:line="240" w:lineRule="auto"/>
              <w:jc w:val="center"/>
              <w:rPr>
                <w:sz w:val="24"/>
                <w:szCs w:val="24"/>
              </w:rPr>
            </w:pPr>
            <w:r>
              <w:rPr>
                <w:rFonts w:ascii="Times New Roman" w:hAnsi="Times New Roman" w:cs="Times New Roman"/>
                <w:color w:val="000000"/>
                <w:sz w:val="24"/>
                <w:szCs w:val="24"/>
              </w:rPr>
              <w:t>Из них:</w:t>
            </w:r>
          </w:p>
        </w:tc>
      </w:tr>
      <w:tr w:rsidR="005F3983">
        <w:trPr>
          <w:trHeight w:hRule="exact" w:val="138"/>
        </w:trPr>
        <w:tc>
          <w:tcPr>
            <w:tcW w:w="3970" w:type="dxa"/>
          </w:tcPr>
          <w:p w:rsidR="005F3983" w:rsidRDefault="005F3983"/>
        </w:tc>
        <w:tc>
          <w:tcPr>
            <w:tcW w:w="1702" w:type="dxa"/>
          </w:tcPr>
          <w:p w:rsidR="005F3983" w:rsidRDefault="005F3983"/>
        </w:tc>
        <w:tc>
          <w:tcPr>
            <w:tcW w:w="1702" w:type="dxa"/>
          </w:tcPr>
          <w:p w:rsidR="005F3983" w:rsidRDefault="005F3983"/>
        </w:tc>
        <w:tc>
          <w:tcPr>
            <w:tcW w:w="426" w:type="dxa"/>
          </w:tcPr>
          <w:p w:rsidR="005F3983" w:rsidRDefault="005F3983"/>
        </w:tc>
        <w:tc>
          <w:tcPr>
            <w:tcW w:w="710" w:type="dxa"/>
          </w:tcPr>
          <w:p w:rsidR="005F3983" w:rsidRDefault="005F3983"/>
        </w:tc>
        <w:tc>
          <w:tcPr>
            <w:tcW w:w="143" w:type="dxa"/>
          </w:tcPr>
          <w:p w:rsidR="005F3983" w:rsidRDefault="005F3983"/>
        </w:tc>
        <w:tc>
          <w:tcPr>
            <w:tcW w:w="993" w:type="dxa"/>
          </w:tcPr>
          <w:p w:rsidR="005F3983" w:rsidRDefault="005F3983"/>
        </w:tc>
      </w:tr>
      <w:tr w:rsidR="005F39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108</w:t>
            </w:r>
          </w:p>
        </w:tc>
      </w:tr>
      <w:tr w:rsidR="005F39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36</w:t>
            </w:r>
          </w:p>
        </w:tc>
      </w:tr>
      <w:tr w:rsidR="005F39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0</w:t>
            </w:r>
          </w:p>
        </w:tc>
      </w:tr>
      <w:tr w:rsidR="005F39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36</w:t>
            </w:r>
          </w:p>
        </w:tc>
      </w:tr>
      <w:tr w:rsidR="005F39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36</w:t>
            </w:r>
          </w:p>
        </w:tc>
      </w:tr>
      <w:tr w:rsidR="005F39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142</w:t>
            </w:r>
          </w:p>
        </w:tc>
      </w:tr>
      <w:tr w:rsidR="005F39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36</w:t>
            </w:r>
          </w:p>
        </w:tc>
      </w:tr>
      <w:tr w:rsidR="005F3983">
        <w:trPr>
          <w:trHeight w:hRule="exact" w:val="416"/>
        </w:trPr>
        <w:tc>
          <w:tcPr>
            <w:tcW w:w="3970" w:type="dxa"/>
          </w:tcPr>
          <w:p w:rsidR="005F3983" w:rsidRDefault="005F3983"/>
        </w:tc>
        <w:tc>
          <w:tcPr>
            <w:tcW w:w="1702" w:type="dxa"/>
          </w:tcPr>
          <w:p w:rsidR="005F3983" w:rsidRDefault="005F3983"/>
        </w:tc>
        <w:tc>
          <w:tcPr>
            <w:tcW w:w="1702" w:type="dxa"/>
          </w:tcPr>
          <w:p w:rsidR="005F3983" w:rsidRDefault="005F3983"/>
        </w:tc>
        <w:tc>
          <w:tcPr>
            <w:tcW w:w="426" w:type="dxa"/>
          </w:tcPr>
          <w:p w:rsidR="005F3983" w:rsidRDefault="005F3983"/>
        </w:tc>
        <w:tc>
          <w:tcPr>
            <w:tcW w:w="710" w:type="dxa"/>
          </w:tcPr>
          <w:p w:rsidR="005F3983" w:rsidRDefault="005F3983"/>
        </w:tc>
        <w:tc>
          <w:tcPr>
            <w:tcW w:w="143" w:type="dxa"/>
          </w:tcPr>
          <w:p w:rsidR="005F3983" w:rsidRDefault="005F3983"/>
        </w:tc>
        <w:tc>
          <w:tcPr>
            <w:tcW w:w="993" w:type="dxa"/>
          </w:tcPr>
          <w:p w:rsidR="005F3983" w:rsidRDefault="005F3983"/>
        </w:tc>
      </w:tr>
      <w:tr w:rsidR="005F39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экзамены 7</w:t>
            </w:r>
          </w:p>
        </w:tc>
      </w:tr>
      <w:tr w:rsidR="005F3983">
        <w:trPr>
          <w:trHeight w:hRule="exact" w:val="277"/>
        </w:trPr>
        <w:tc>
          <w:tcPr>
            <w:tcW w:w="3970" w:type="dxa"/>
          </w:tcPr>
          <w:p w:rsidR="005F3983" w:rsidRDefault="005F3983"/>
        </w:tc>
        <w:tc>
          <w:tcPr>
            <w:tcW w:w="1702" w:type="dxa"/>
          </w:tcPr>
          <w:p w:rsidR="005F3983" w:rsidRDefault="005F3983"/>
        </w:tc>
        <w:tc>
          <w:tcPr>
            <w:tcW w:w="1702" w:type="dxa"/>
          </w:tcPr>
          <w:p w:rsidR="005F3983" w:rsidRDefault="005F3983"/>
        </w:tc>
        <w:tc>
          <w:tcPr>
            <w:tcW w:w="426" w:type="dxa"/>
          </w:tcPr>
          <w:p w:rsidR="005F3983" w:rsidRDefault="005F3983"/>
        </w:tc>
        <w:tc>
          <w:tcPr>
            <w:tcW w:w="710" w:type="dxa"/>
          </w:tcPr>
          <w:p w:rsidR="005F3983" w:rsidRDefault="005F3983"/>
        </w:tc>
        <w:tc>
          <w:tcPr>
            <w:tcW w:w="143" w:type="dxa"/>
          </w:tcPr>
          <w:p w:rsidR="005F3983" w:rsidRDefault="005F3983"/>
        </w:tc>
        <w:tc>
          <w:tcPr>
            <w:tcW w:w="993" w:type="dxa"/>
          </w:tcPr>
          <w:p w:rsidR="005F3983" w:rsidRDefault="005F3983"/>
        </w:tc>
      </w:tr>
      <w:tr w:rsidR="005F3983">
        <w:trPr>
          <w:trHeight w:hRule="exact" w:val="1666"/>
        </w:trPr>
        <w:tc>
          <w:tcPr>
            <w:tcW w:w="9654" w:type="dxa"/>
            <w:gridSpan w:val="7"/>
            <w:shd w:val="clear" w:color="000000" w:fill="FFFFFF"/>
            <w:tcMar>
              <w:left w:w="34" w:type="dxa"/>
              <w:right w:w="34" w:type="dxa"/>
            </w:tcMar>
          </w:tcPr>
          <w:p w:rsidR="005F3983" w:rsidRDefault="005F3983">
            <w:pPr>
              <w:spacing w:after="0" w:line="240" w:lineRule="auto"/>
              <w:jc w:val="center"/>
              <w:rPr>
                <w:sz w:val="24"/>
                <w:szCs w:val="24"/>
              </w:rPr>
            </w:pPr>
          </w:p>
          <w:p w:rsidR="005F3983" w:rsidRDefault="005126D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F3983" w:rsidRDefault="005F3983">
            <w:pPr>
              <w:spacing w:after="0" w:line="240" w:lineRule="auto"/>
              <w:jc w:val="center"/>
              <w:rPr>
                <w:sz w:val="24"/>
                <w:szCs w:val="24"/>
              </w:rPr>
            </w:pPr>
          </w:p>
          <w:p w:rsidR="005F3983" w:rsidRDefault="005126D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F3983">
        <w:trPr>
          <w:trHeight w:hRule="exact" w:val="416"/>
        </w:trPr>
        <w:tc>
          <w:tcPr>
            <w:tcW w:w="3970" w:type="dxa"/>
          </w:tcPr>
          <w:p w:rsidR="005F3983" w:rsidRDefault="005F3983"/>
        </w:tc>
        <w:tc>
          <w:tcPr>
            <w:tcW w:w="1702" w:type="dxa"/>
          </w:tcPr>
          <w:p w:rsidR="005F3983" w:rsidRDefault="005F3983"/>
        </w:tc>
        <w:tc>
          <w:tcPr>
            <w:tcW w:w="1702" w:type="dxa"/>
          </w:tcPr>
          <w:p w:rsidR="005F3983" w:rsidRDefault="005F3983"/>
        </w:tc>
        <w:tc>
          <w:tcPr>
            <w:tcW w:w="426" w:type="dxa"/>
          </w:tcPr>
          <w:p w:rsidR="005F3983" w:rsidRDefault="005F3983"/>
        </w:tc>
        <w:tc>
          <w:tcPr>
            <w:tcW w:w="710" w:type="dxa"/>
          </w:tcPr>
          <w:p w:rsidR="005F3983" w:rsidRDefault="005F3983"/>
        </w:tc>
        <w:tc>
          <w:tcPr>
            <w:tcW w:w="143" w:type="dxa"/>
          </w:tcPr>
          <w:p w:rsidR="005F3983" w:rsidRDefault="005F3983"/>
        </w:tc>
        <w:tc>
          <w:tcPr>
            <w:tcW w:w="993" w:type="dxa"/>
          </w:tcPr>
          <w:p w:rsidR="005F3983" w:rsidRDefault="005F3983"/>
        </w:tc>
      </w:tr>
      <w:tr w:rsidR="005F39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983" w:rsidRDefault="005126D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983" w:rsidRDefault="005126D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983" w:rsidRDefault="005126D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983" w:rsidRDefault="005126D8">
            <w:pPr>
              <w:spacing w:after="0" w:line="240" w:lineRule="auto"/>
              <w:jc w:val="center"/>
              <w:rPr>
                <w:sz w:val="24"/>
                <w:szCs w:val="24"/>
              </w:rPr>
            </w:pPr>
            <w:r>
              <w:rPr>
                <w:rFonts w:ascii="Times New Roman" w:hAnsi="Times New Roman" w:cs="Times New Roman"/>
                <w:color w:val="000000"/>
                <w:sz w:val="24"/>
                <w:szCs w:val="24"/>
              </w:rPr>
              <w:t>Часов</w:t>
            </w:r>
          </w:p>
        </w:tc>
      </w:tr>
      <w:tr w:rsidR="005F398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3983" w:rsidRDefault="005F398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3983" w:rsidRDefault="005F39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3983" w:rsidRDefault="005F39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3983" w:rsidRDefault="005F3983"/>
        </w:tc>
      </w:tr>
      <w:tr w:rsidR="005F39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4</w:t>
            </w:r>
          </w:p>
        </w:tc>
      </w:tr>
      <w:tr w:rsidR="005F39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4</w:t>
            </w:r>
          </w:p>
        </w:tc>
      </w:tr>
      <w:tr w:rsidR="005F39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6</w:t>
            </w:r>
          </w:p>
        </w:tc>
      </w:tr>
      <w:tr w:rsidR="005F39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6</w:t>
            </w:r>
          </w:p>
        </w:tc>
      </w:tr>
      <w:tr w:rsidR="005F39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Тема 5. Модель оценки финансовых активов (CAPM)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4</w:t>
            </w:r>
          </w:p>
        </w:tc>
      </w:tr>
      <w:tr w:rsidR="005F39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6</w:t>
            </w:r>
          </w:p>
        </w:tc>
      </w:tr>
    </w:tbl>
    <w:p w:rsidR="005F3983" w:rsidRDefault="005126D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F3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lastRenderedPageBreak/>
              <w:t>Тема 7.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6</w:t>
            </w:r>
          </w:p>
        </w:tc>
      </w:tr>
      <w:tr w:rsidR="005F3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4</w:t>
            </w:r>
          </w:p>
        </w:tc>
      </w:tr>
      <w:tr w:rsidR="005F3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6</w:t>
            </w:r>
          </w:p>
        </w:tc>
      </w:tr>
      <w:tr w:rsidR="005F3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4</w:t>
            </w:r>
          </w:p>
        </w:tc>
      </w:tr>
      <w:tr w:rsidR="005F3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6</w:t>
            </w:r>
          </w:p>
        </w:tc>
      </w:tr>
      <w:tr w:rsidR="005F3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Тема 5. Модель оценки финансовых активов (CAPM)</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6</w:t>
            </w:r>
          </w:p>
        </w:tc>
      </w:tr>
      <w:tr w:rsidR="005F3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6</w:t>
            </w:r>
          </w:p>
        </w:tc>
      </w:tr>
      <w:tr w:rsidR="005F3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Тема 7. Международные стандарты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4</w:t>
            </w:r>
          </w:p>
        </w:tc>
      </w:tr>
      <w:tr w:rsidR="005F3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F39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142</w:t>
            </w:r>
          </w:p>
        </w:tc>
      </w:tr>
      <w:tr w:rsidR="005F3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Тема 1. Анализ и оценки риска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8</w:t>
            </w:r>
          </w:p>
        </w:tc>
      </w:tr>
      <w:tr w:rsidR="005F3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Тема 2. Измерители и показатели производственных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8</w:t>
            </w:r>
          </w:p>
        </w:tc>
      </w:tr>
      <w:tr w:rsidR="005F3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Тема 3. Методы анализа и оценки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6</w:t>
            </w:r>
          </w:p>
        </w:tc>
      </w:tr>
      <w:tr w:rsidR="005F3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Тема 4. Экспертные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6</w:t>
            </w:r>
          </w:p>
        </w:tc>
      </w:tr>
      <w:tr w:rsidR="005F3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Тема 6. Оценка рисков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8</w:t>
            </w:r>
          </w:p>
        </w:tc>
      </w:tr>
      <w:tr w:rsidR="005F3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F39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36</w:t>
            </w:r>
          </w:p>
        </w:tc>
      </w:tr>
      <w:tr w:rsidR="005F3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F39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2</w:t>
            </w:r>
          </w:p>
        </w:tc>
      </w:tr>
      <w:tr w:rsidR="005F39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F39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F39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color w:val="000000"/>
                <w:sz w:val="24"/>
                <w:szCs w:val="24"/>
              </w:rPr>
              <w:t>288</w:t>
            </w:r>
          </w:p>
        </w:tc>
      </w:tr>
      <w:tr w:rsidR="005F3983">
        <w:trPr>
          <w:trHeight w:hRule="exact" w:val="7716"/>
        </w:trPr>
        <w:tc>
          <w:tcPr>
            <w:tcW w:w="9654" w:type="dxa"/>
            <w:gridSpan w:val="4"/>
            <w:shd w:val="clear" w:color="000000" w:fill="FFFFFF"/>
            <w:tcMar>
              <w:left w:w="34" w:type="dxa"/>
              <w:right w:w="34" w:type="dxa"/>
            </w:tcMar>
          </w:tcPr>
          <w:p w:rsidR="005F3983" w:rsidRDefault="005F3983">
            <w:pPr>
              <w:spacing w:after="0" w:line="240" w:lineRule="auto"/>
              <w:jc w:val="both"/>
              <w:rPr>
                <w:sz w:val="20"/>
                <w:szCs w:val="20"/>
              </w:rPr>
            </w:pPr>
          </w:p>
          <w:p w:rsidR="005F3983" w:rsidRDefault="005126D8">
            <w:pPr>
              <w:spacing w:after="0" w:line="240" w:lineRule="auto"/>
              <w:jc w:val="both"/>
              <w:rPr>
                <w:sz w:val="20"/>
                <w:szCs w:val="20"/>
              </w:rPr>
            </w:pPr>
            <w:r>
              <w:rPr>
                <w:rFonts w:ascii="Times New Roman" w:hAnsi="Times New Roman" w:cs="Times New Roman"/>
                <w:color w:val="000000"/>
                <w:sz w:val="20"/>
                <w:szCs w:val="20"/>
              </w:rPr>
              <w:t>* Примечания:</w:t>
            </w:r>
          </w:p>
          <w:p w:rsidR="005F3983" w:rsidRDefault="005126D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F3983" w:rsidRDefault="005126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F3983" w:rsidRDefault="005126D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F3983" w:rsidRDefault="005126D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5F3983" w:rsidRDefault="0051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3983">
        <w:trPr>
          <w:trHeight w:hRule="exact" w:val="10156"/>
        </w:trPr>
        <w:tc>
          <w:tcPr>
            <w:tcW w:w="9654" w:type="dxa"/>
            <w:shd w:val="clear" w:color="000000" w:fill="FFFFFF"/>
            <w:tcMar>
              <w:left w:w="34" w:type="dxa"/>
              <w:right w:w="34" w:type="dxa"/>
            </w:tcMar>
          </w:tcPr>
          <w:p w:rsidR="005F3983" w:rsidRDefault="005126D8">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F3983" w:rsidRDefault="005126D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F3983" w:rsidRDefault="005126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F3983" w:rsidRDefault="005126D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F3983" w:rsidRDefault="005126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F3983">
        <w:trPr>
          <w:trHeight w:hRule="exact" w:val="585"/>
        </w:trPr>
        <w:tc>
          <w:tcPr>
            <w:tcW w:w="9654" w:type="dxa"/>
            <w:shd w:val="clear" w:color="000000" w:fill="FFFFFF"/>
            <w:tcMar>
              <w:left w:w="34" w:type="dxa"/>
              <w:right w:w="34" w:type="dxa"/>
            </w:tcMar>
          </w:tcPr>
          <w:p w:rsidR="005F3983" w:rsidRDefault="005F3983">
            <w:pPr>
              <w:spacing w:after="0" w:line="240" w:lineRule="auto"/>
              <w:rPr>
                <w:sz w:val="24"/>
                <w:szCs w:val="24"/>
              </w:rPr>
            </w:pPr>
          </w:p>
          <w:p w:rsidR="005F3983" w:rsidRDefault="005126D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F3983">
        <w:trPr>
          <w:trHeight w:hRule="exact" w:val="277"/>
        </w:trPr>
        <w:tc>
          <w:tcPr>
            <w:tcW w:w="9654" w:type="dxa"/>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F3983">
        <w:trPr>
          <w:trHeight w:hRule="exact" w:val="26"/>
        </w:trPr>
        <w:tc>
          <w:tcPr>
            <w:tcW w:w="9654" w:type="dxa"/>
            <w:vMerge w:val="restart"/>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t>Тема 1. Анализ и оценки риска в системе управления предприятием</w:t>
            </w:r>
          </w:p>
        </w:tc>
      </w:tr>
      <w:tr w:rsidR="005F3983">
        <w:trPr>
          <w:trHeight w:hRule="exact" w:val="277"/>
        </w:trPr>
        <w:tc>
          <w:tcPr>
            <w:tcW w:w="9654" w:type="dxa"/>
            <w:vMerge/>
            <w:shd w:val="clear" w:color="000000" w:fill="FFFFFF"/>
            <w:tcMar>
              <w:left w:w="34" w:type="dxa"/>
              <w:right w:w="34" w:type="dxa"/>
            </w:tcMar>
          </w:tcPr>
          <w:p w:rsidR="005F3983" w:rsidRDefault="005F3983"/>
        </w:tc>
      </w:tr>
      <w:tr w:rsidR="005F3983">
        <w:trPr>
          <w:trHeight w:hRule="exact" w:val="1096"/>
        </w:trPr>
        <w:tc>
          <w:tcPr>
            <w:tcW w:w="9654" w:type="dxa"/>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t>Управление рисками предприятия. Характеристика основных элементов системы управления рисками предприятия. Алгоритм управления рисками предприятия. Методы управления рисками: принципы управления, алгоритм управления. Процесс управления операционными рисками.</w:t>
            </w:r>
          </w:p>
        </w:tc>
      </w:tr>
      <w:tr w:rsidR="005F3983">
        <w:trPr>
          <w:trHeight w:hRule="exact" w:val="304"/>
        </w:trPr>
        <w:tc>
          <w:tcPr>
            <w:tcW w:w="9654" w:type="dxa"/>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t>Тема 2. Измерители и показатели производственных рисков</w:t>
            </w:r>
          </w:p>
        </w:tc>
      </w:tr>
      <w:tr w:rsidR="005F3983">
        <w:trPr>
          <w:trHeight w:hRule="exact" w:val="1907"/>
        </w:trPr>
        <w:tc>
          <w:tcPr>
            <w:tcW w:w="9654" w:type="dxa"/>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t>Математические модели и методы оценки риска: методы анализа операционных рисков предприятия; измерители и система показатели оценки риска. Система показателей оценки риска. Показатели оценки риска в условиях неопределенности. Показатели оценки операционного риска в условиях частичной и полной неопределенности и их применение. Условия частичной неопределенности. Условия полной неопределенности: точечная оценка риска, предельные значения показателей риска.</w:t>
            </w:r>
          </w:p>
        </w:tc>
      </w:tr>
      <w:tr w:rsidR="005F3983">
        <w:trPr>
          <w:trHeight w:hRule="exact" w:val="304"/>
        </w:trPr>
        <w:tc>
          <w:tcPr>
            <w:tcW w:w="9654" w:type="dxa"/>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t>Тема 3. Методы анализа и оценки рисков предприятия</w:t>
            </w:r>
          </w:p>
        </w:tc>
      </w:tr>
      <w:tr w:rsidR="005F3983">
        <w:trPr>
          <w:trHeight w:hRule="exact" w:val="453"/>
        </w:trPr>
        <w:tc>
          <w:tcPr>
            <w:tcW w:w="9654" w:type="dxa"/>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t>Методы анализа рисков. Формализация частичной неопределенности и</w:t>
            </w:r>
          </w:p>
        </w:tc>
      </w:tr>
    </w:tbl>
    <w:p w:rsidR="005F3983" w:rsidRDefault="0051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3983">
        <w:trPr>
          <w:trHeight w:hRule="exact" w:val="2178"/>
        </w:trPr>
        <w:tc>
          <w:tcPr>
            <w:tcW w:w="9654" w:type="dxa"/>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lastRenderedPageBreak/>
              <w:t>применение теории вероятности в задачах оценки риска. Закон нормального распределения; интервальная оценка риска. Статистические показатели риска: среднее значение, выборочная средняя, математическое ожидание, стандартное отклонение, дисперсия, доверительный интервал, коэффициент вариации. Предельные значения показателей риска. Критерии количественной оценки риска в условиях неопределенности: критерий Сэвиджа; критерий Гурвица; критерий Вальда; критерий Байеса. Выбор решений в условиях частичной неопределенности: критерий рациональности Лапласа.</w:t>
            </w:r>
          </w:p>
        </w:tc>
      </w:tr>
      <w:tr w:rsidR="005F3983">
        <w:trPr>
          <w:trHeight w:hRule="exact" w:val="304"/>
        </w:trPr>
        <w:tc>
          <w:tcPr>
            <w:tcW w:w="9654" w:type="dxa"/>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t>Тема 4. Экспертные методы оценки риска</w:t>
            </w:r>
          </w:p>
        </w:tc>
      </w:tr>
      <w:tr w:rsidR="005F3983">
        <w:trPr>
          <w:trHeight w:hRule="exact" w:val="1637"/>
        </w:trPr>
        <w:tc>
          <w:tcPr>
            <w:tcW w:w="9654" w:type="dxa"/>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t>Экспертные методы прогнозирования риска: коллективные методы оценивания, методы получения индивидуального мнения, Этапы применения экспертных методов оценки риска. Методы групповой экспертной оценки риска: открытая дискуссия; анкетный опрос. Метод Дельфи в оценке риска. Метод статистической обработки результатов экспертизы. Оценка согласованности мнений экспертов: критерий ранговой корреляции Спирмена; индикатор конкордации. Роза и спираль риска.</w:t>
            </w:r>
          </w:p>
        </w:tc>
      </w:tr>
      <w:tr w:rsidR="005F3983">
        <w:trPr>
          <w:trHeight w:hRule="exact" w:val="304"/>
        </w:trPr>
        <w:tc>
          <w:tcPr>
            <w:tcW w:w="9654" w:type="dxa"/>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t>Тема 5. Модель оценки финансовых активов (CAPM)</w:t>
            </w:r>
          </w:p>
        </w:tc>
      </w:tr>
      <w:tr w:rsidR="005F3983">
        <w:trPr>
          <w:trHeight w:hRule="exact" w:val="1096"/>
        </w:trPr>
        <w:tc>
          <w:tcPr>
            <w:tcW w:w="9654" w:type="dxa"/>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t>Рыночный и собственный риск портфеля ценных бумаг. Диверсификация портфеля ценных бумаг. Предположения о поведении инвесторов и существовании совершенных фондовых рынков. Основные постулаты модели CAPM. Основные индексы мирового и российского фондовых рынков.</w:t>
            </w:r>
          </w:p>
        </w:tc>
      </w:tr>
      <w:tr w:rsidR="005F3983">
        <w:trPr>
          <w:trHeight w:hRule="exact" w:val="304"/>
        </w:trPr>
        <w:tc>
          <w:tcPr>
            <w:tcW w:w="9654" w:type="dxa"/>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t>Тема 6. Оценка рисков инвестиционных проектов</w:t>
            </w:r>
          </w:p>
        </w:tc>
      </w:tr>
      <w:tr w:rsidR="005F3983">
        <w:trPr>
          <w:trHeight w:hRule="exact" w:val="1366"/>
        </w:trPr>
        <w:tc>
          <w:tcPr>
            <w:tcW w:w="9654" w:type="dxa"/>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t>Основные определения и классификация рисков инвестиционного проектирования. Имитационная модель учета риска. Анализ чувствительности инвестиционного проекта. Имитационное моделирование Монте-Карло. Метод построения дерева решений проекта. Метод корректировки на риск денежного потока. Метод корректировки коэффициента дисконтирования на риск инвестиционного проекта</w:t>
            </w:r>
          </w:p>
        </w:tc>
      </w:tr>
      <w:tr w:rsidR="005F3983">
        <w:trPr>
          <w:trHeight w:hRule="exact" w:val="304"/>
        </w:trPr>
        <w:tc>
          <w:tcPr>
            <w:tcW w:w="9654" w:type="dxa"/>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t>Тема 7. Международные стандарты управления рисками</w:t>
            </w:r>
          </w:p>
        </w:tc>
      </w:tr>
      <w:tr w:rsidR="005F3983">
        <w:trPr>
          <w:trHeight w:hRule="exact" w:val="1096"/>
        </w:trPr>
        <w:tc>
          <w:tcPr>
            <w:tcW w:w="9654" w:type="dxa"/>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t>Стандарты, руководства и рекомендации, разработанные национальными профессиональными объединениями. Стандарты, руководства и рекомендации, разработанные и изданные национальными органами по стандартизации. Процессы стандартизация в области риск-менеджмента на международном уровне.</w:t>
            </w:r>
          </w:p>
        </w:tc>
      </w:tr>
      <w:tr w:rsidR="005F3983">
        <w:trPr>
          <w:trHeight w:hRule="exact" w:val="277"/>
        </w:trPr>
        <w:tc>
          <w:tcPr>
            <w:tcW w:w="9654" w:type="dxa"/>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F3983">
        <w:trPr>
          <w:trHeight w:hRule="exact" w:val="14"/>
        </w:trPr>
        <w:tc>
          <w:tcPr>
            <w:tcW w:w="9640" w:type="dxa"/>
          </w:tcPr>
          <w:p w:rsidR="005F3983" w:rsidRDefault="005F3983"/>
        </w:tc>
      </w:tr>
      <w:tr w:rsidR="005F3983">
        <w:trPr>
          <w:trHeight w:hRule="exact" w:val="304"/>
        </w:trPr>
        <w:tc>
          <w:tcPr>
            <w:tcW w:w="9654" w:type="dxa"/>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t>Тема 1. Анализ и оценки риска в системе управления предприятием</w:t>
            </w:r>
          </w:p>
        </w:tc>
      </w:tr>
      <w:tr w:rsidR="005F3983">
        <w:trPr>
          <w:trHeight w:hRule="exact" w:val="826"/>
        </w:trPr>
        <w:tc>
          <w:tcPr>
            <w:tcW w:w="9654" w:type="dxa"/>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t>1.</w:t>
            </w:r>
          </w:p>
          <w:p w:rsidR="005F3983" w:rsidRDefault="005126D8">
            <w:pPr>
              <w:spacing w:after="0" w:line="240" w:lineRule="auto"/>
              <w:jc w:val="both"/>
              <w:rPr>
                <w:sz w:val="24"/>
                <w:szCs w:val="24"/>
              </w:rPr>
            </w:pPr>
            <w:r>
              <w:rPr>
                <w:rFonts w:ascii="Times New Roman" w:hAnsi="Times New Roman" w:cs="Times New Roman"/>
                <w:color w:val="000000"/>
                <w:sz w:val="24"/>
                <w:szCs w:val="24"/>
              </w:rPr>
              <w:t>3. Методы управления рисками: принципы управления, алгоритм управления.</w:t>
            </w:r>
          </w:p>
          <w:p w:rsidR="005F3983" w:rsidRDefault="005126D8">
            <w:pPr>
              <w:spacing w:after="0" w:line="240" w:lineRule="auto"/>
              <w:jc w:val="both"/>
              <w:rPr>
                <w:sz w:val="24"/>
                <w:szCs w:val="24"/>
              </w:rPr>
            </w:pPr>
            <w:r>
              <w:rPr>
                <w:rFonts w:ascii="Times New Roman" w:hAnsi="Times New Roman" w:cs="Times New Roman"/>
                <w:color w:val="000000"/>
                <w:sz w:val="24"/>
                <w:szCs w:val="24"/>
              </w:rPr>
              <w:t>4. Процесс управления операционными рисками</w:t>
            </w:r>
          </w:p>
        </w:tc>
      </w:tr>
      <w:tr w:rsidR="005F3983">
        <w:trPr>
          <w:trHeight w:hRule="exact" w:val="14"/>
        </w:trPr>
        <w:tc>
          <w:tcPr>
            <w:tcW w:w="9640" w:type="dxa"/>
          </w:tcPr>
          <w:p w:rsidR="005F3983" w:rsidRDefault="005F3983"/>
        </w:tc>
      </w:tr>
      <w:tr w:rsidR="005F3983">
        <w:trPr>
          <w:trHeight w:hRule="exact" w:val="304"/>
        </w:trPr>
        <w:tc>
          <w:tcPr>
            <w:tcW w:w="9654" w:type="dxa"/>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t>Тема 2. Измерители и показатели производственных рисков</w:t>
            </w:r>
          </w:p>
        </w:tc>
      </w:tr>
      <w:tr w:rsidR="005F3983">
        <w:trPr>
          <w:trHeight w:hRule="exact" w:val="1637"/>
        </w:trPr>
        <w:tc>
          <w:tcPr>
            <w:tcW w:w="9654" w:type="dxa"/>
            <w:shd w:val="clear" w:color="000000" w:fill="FFFFFF"/>
            <w:tcMar>
              <w:left w:w="34" w:type="dxa"/>
              <w:right w:w="34" w:type="dxa"/>
            </w:tcMar>
          </w:tcPr>
          <w:p w:rsidR="005F3983" w:rsidRDefault="005F3983">
            <w:pPr>
              <w:spacing w:after="0" w:line="240" w:lineRule="auto"/>
              <w:jc w:val="both"/>
              <w:rPr>
                <w:sz w:val="24"/>
                <w:szCs w:val="24"/>
              </w:rPr>
            </w:pPr>
          </w:p>
          <w:p w:rsidR="005F3983" w:rsidRDefault="005126D8">
            <w:pPr>
              <w:spacing w:after="0" w:line="240" w:lineRule="auto"/>
              <w:jc w:val="both"/>
              <w:rPr>
                <w:sz w:val="24"/>
                <w:szCs w:val="24"/>
              </w:rPr>
            </w:pPr>
            <w:r>
              <w:rPr>
                <w:rFonts w:ascii="Times New Roman" w:hAnsi="Times New Roman" w:cs="Times New Roman"/>
                <w:color w:val="000000"/>
                <w:sz w:val="24"/>
                <w:szCs w:val="24"/>
              </w:rPr>
              <w:t>4. Показатели оценки операционного риска в условиях частичной и полной неопределенности и их применение.</w:t>
            </w:r>
          </w:p>
          <w:p w:rsidR="005F3983" w:rsidRDefault="005126D8">
            <w:pPr>
              <w:spacing w:after="0" w:line="240" w:lineRule="auto"/>
              <w:jc w:val="both"/>
              <w:rPr>
                <w:sz w:val="24"/>
                <w:szCs w:val="24"/>
              </w:rPr>
            </w:pPr>
            <w:r>
              <w:rPr>
                <w:rFonts w:ascii="Times New Roman" w:hAnsi="Times New Roman" w:cs="Times New Roman"/>
                <w:color w:val="000000"/>
                <w:sz w:val="24"/>
                <w:szCs w:val="24"/>
              </w:rPr>
              <w:t>5. Условия частичной неопределенности.</w:t>
            </w:r>
          </w:p>
          <w:p w:rsidR="005F3983" w:rsidRDefault="005126D8">
            <w:pPr>
              <w:spacing w:after="0" w:line="240" w:lineRule="auto"/>
              <w:jc w:val="both"/>
              <w:rPr>
                <w:sz w:val="24"/>
                <w:szCs w:val="24"/>
              </w:rPr>
            </w:pPr>
            <w:r>
              <w:rPr>
                <w:rFonts w:ascii="Times New Roman" w:hAnsi="Times New Roman" w:cs="Times New Roman"/>
                <w:color w:val="000000"/>
                <w:sz w:val="24"/>
                <w:szCs w:val="24"/>
              </w:rPr>
              <w:t>6. Условия полной неопределенности: точечная оценка риска, предельные значения показателей риска.</w:t>
            </w:r>
          </w:p>
        </w:tc>
      </w:tr>
      <w:tr w:rsidR="005F3983">
        <w:trPr>
          <w:trHeight w:hRule="exact" w:val="14"/>
        </w:trPr>
        <w:tc>
          <w:tcPr>
            <w:tcW w:w="9640" w:type="dxa"/>
          </w:tcPr>
          <w:p w:rsidR="005F3983" w:rsidRDefault="005F3983"/>
        </w:tc>
      </w:tr>
      <w:tr w:rsidR="005F3983">
        <w:trPr>
          <w:trHeight w:hRule="exact" w:val="304"/>
        </w:trPr>
        <w:tc>
          <w:tcPr>
            <w:tcW w:w="9654" w:type="dxa"/>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t>Тема 3. Методы анализа и оценки рисков предприятия</w:t>
            </w:r>
          </w:p>
        </w:tc>
      </w:tr>
      <w:tr w:rsidR="005F3983">
        <w:trPr>
          <w:trHeight w:hRule="exact" w:val="1907"/>
        </w:trPr>
        <w:tc>
          <w:tcPr>
            <w:tcW w:w="9654" w:type="dxa"/>
            <w:shd w:val="clear" w:color="000000" w:fill="FFFFFF"/>
            <w:tcMar>
              <w:left w:w="34" w:type="dxa"/>
              <w:right w:w="34" w:type="dxa"/>
            </w:tcMar>
          </w:tcPr>
          <w:p w:rsidR="005F3983" w:rsidRDefault="005F3983">
            <w:pPr>
              <w:spacing w:after="0" w:line="240" w:lineRule="auto"/>
              <w:jc w:val="both"/>
              <w:rPr>
                <w:sz w:val="24"/>
                <w:szCs w:val="24"/>
              </w:rPr>
            </w:pPr>
          </w:p>
          <w:p w:rsidR="005F3983" w:rsidRDefault="005126D8">
            <w:pPr>
              <w:spacing w:after="0" w:line="240" w:lineRule="auto"/>
              <w:jc w:val="both"/>
              <w:rPr>
                <w:sz w:val="24"/>
                <w:szCs w:val="24"/>
              </w:rPr>
            </w:pPr>
            <w:r>
              <w:rPr>
                <w:rFonts w:ascii="Times New Roman" w:hAnsi="Times New Roman" w:cs="Times New Roman"/>
                <w:color w:val="000000"/>
                <w:sz w:val="24"/>
                <w:szCs w:val="24"/>
              </w:rPr>
              <w:t>4. Статистические показатели риска: среднее значение, выборочная средняя, математическое ожидание, стандартное отклонение, дисперсия, доверительный интервал, коэффициент вариации.</w:t>
            </w:r>
          </w:p>
          <w:p w:rsidR="005F3983" w:rsidRDefault="005126D8">
            <w:pPr>
              <w:spacing w:after="0" w:line="240" w:lineRule="auto"/>
              <w:jc w:val="both"/>
              <w:rPr>
                <w:sz w:val="24"/>
                <w:szCs w:val="24"/>
              </w:rPr>
            </w:pPr>
            <w:r>
              <w:rPr>
                <w:rFonts w:ascii="Times New Roman" w:hAnsi="Times New Roman" w:cs="Times New Roman"/>
                <w:color w:val="000000"/>
                <w:sz w:val="24"/>
                <w:szCs w:val="24"/>
              </w:rPr>
              <w:t>5. Предельные значения показателей риска</w:t>
            </w:r>
          </w:p>
          <w:p w:rsidR="005F3983" w:rsidRDefault="005126D8">
            <w:pPr>
              <w:spacing w:after="0" w:line="240" w:lineRule="auto"/>
              <w:jc w:val="both"/>
              <w:rPr>
                <w:sz w:val="24"/>
                <w:szCs w:val="24"/>
              </w:rPr>
            </w:pPr>
            <w:r>
              <w:rPr>
                <w:rFonts w:ascii="Times New Roman" w:hAnsi="Times New Roman" w:cs="Times New Roman"/>
                <w:color w:val="000000"/>
                <w:sz w:val="24"/>
                <w:szCs w:val="24"/>
              </w:rPr>
              <w:t>6. Выбор решений в условиях частичной неопределенности: критерий рациональности Лапласа.</w:t>
            </w:r>
          </w:p>
        </w:tc>
      </w:tr>
    </w:tbl>
    <w:p w:rsidR="005F3983" w:rsidRDefault="0051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3983">
        <w:trPr>
          <w:trHeight w:hRule="exact" w:val="304"/>
        </w:trPr>
        <w:tc>
          <w:tcPr>
            <w:tcW w:w="9654" w:type="dxa"/>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lastRenderedPageBreak/>
              <w:t>Тема 4. Экспертные методы оценки риска</w:t>
            </w:r>
          </w:p>
        </w:tc>
      </w:tr>
      <w:tr w:rsidR="005F3983">
        <w:trPr>
          <w:trHeight w:hRule="exact" w:val="1096"/>
        </w:trPr>
        <w:tc>
          <w:tcPr>
            <w:tcW w:w="9654" w:type="dxa"/>
            <w:shd w:val="clear" w:color="000000" w:fill="FFFFFF"/>
            <w:tcMar>
              <w:left w:w="34" w:type="dxa"/>
              <w:right w:w="34" w:type="dxa"/>
            </w:tcMar>
          </w:tcPr>
          <w:p w:rsidR="005F3983" w:rsidRDefault="005F3983">
            <w:pPr>
              <w:spacing w:after="0" w:line="240" w:lineRule="auto"/>
              <w:jc w:val="both"/>
              <w:rPr>
                <w:sz w:val="24"/>
                <w:szCs w:val="24"/>
              </w:rPr>
            </w:pPr>
          </w:p>
          <w:p w:rsidR="005F3983" w:rsidRDefault="005126D8">
            <w:pPr>
              <w:spacing w:after="0" w:line="240" w:lineRule="auto"/>
              <w:jc w:val="both"/>
              <w:rPr>
                <w:sz w:val="24"/>
                <w:szCs w:val="24"/>
              </w:rPr>
            </w:pPr>
            <w:r>
              <w:rPr>
                <w:rFonts w:ascii="Times New Roman" w:hAnsi="Times New Roman" w:cs="Times New Roman"/>
                <w:color w:val="000000"/>
                <w:sz w:val="24"/>
                <w:szCs w:val="24"/>
              </w:rPr>
              <w:t>3. Выбор метода получения экспертной информации. Метод Дельфи</w:t>
            </w:r>
          </w:p>
          <w:p w:rsidR="005F3983" w:rsidRDefault="005126D8">
            <w:pPr>
              <w:spacing w:after="0" w:line="240" w:lineRule="auto"/>
              <w:jc w:val="both"/>
              <w:rPr>
                <w:sz w:val="24"/>
                <w:szCs w:val="24"/>
              </w:rPr>
            </w:pPr>
            <w:r>
              <w:rPr>
                <w:rFonts w:ascii="Times New Roman" w:hAnsi="Times New Roman" w:cs="Times New Roman"/>
                <w:color w:val="000000"/>
                <w:sz w:val="24"/>
                <w:szCs w:val="24"/>
              </w:rPr>
              <w:t>4. Определение обобщенных оценок экспертов</w:t>
            </w:r>
          </w:p>
          <w:p w:rsidR="005F3983" w:rsidRDefault="005126D8">
            <w:pPr>
              <w:spacing w:after="0" w:line="240" w:lineRule="auto"/>
              <w:jc w:val="both"/>
              <w:rPr>
                <w:sz w:val="24"/>
                <w:szCs w:val="24"/>
              </w:rPr>
            </w:pPr>
            <w:r>
              <w:rPr>
                <w:rFonts w:ascii="Times New Roman" w:hAnsi="Times New Roman" w:cs="Times New Roman"/>
                <w:color w:val="000000"/>
                <w:sz w:val="24"/>
                <w:szCs w:val="24"/>
              </w:rPr>
              <w:t>5. Оценка согласованности мнений экспертов</w:t>
            </w:r>
          </w:p>
        </w:tc>
      </w:tr>
      <w:tr w:rsidR="005F3983">
        <w:trPr>
          <w:trHeight w:hRule="exact" w:val="14"/>
        </w:trPr>
        <w:tc>
          <w:tcPr>
            <w:tcW w:w="9640" w:type="dxa"/>
          </w:tcPr>
          <w:p w:rsidR="005F3983" w:rsidRDefault="005F3983"/>
        </w:tc>
      </w:tr>
      <w:tr w:rsidR="005F3983">
        <w:trPr>
          <w:trHeight w:hRule="exact" w:val="304"/>
        </w:trPr>
        <w:tc>
          <w:tcPr>
            <w:tcW w:w="9654" w:type="dxa"/>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t>Тема 5. Модель оценки финансовых активов (CAPM)</w:t>
            </w:r>
          </w:p>
        </w:tc>
      </w:tr>
      <w:tr w:rsidR="005F3983">
        <w:trPr>
          <w:trHeight w:hRule="exact" w:val="826"/>
        </w:trPr>
        <w:tc>
          <w:tcPr>
            <w:tcW w:w="9654" w:type="dxa"/>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t>1. Основные постулаты модели CAPM</w:t>
            </w:r>
          </w:p>
          <w:p w:rsidR="005F3983" w:rsidRDefault="005126D8">
            <w:pPr>
              <w:spacing w:after="0" w:line="240" w:lineRule="auto"/>
              <w:jc w:val="both"/>
              <w:rPr>
                <w:sz w:val="24"/>
                <w:szCs w:val="24"/>
              </w:rPr>
            </w:pPr>
            <w:r>
              <w:rPr>
                <w:rFonts w:ascii="Times New Roman" w:hAnsi="Times New Roman" w:cs="Times New Roman"/>
                <w:color w:val="000000"/>
                <w:sz w:val="24"/>
                <w:szCs w:val="24"/>
              </w:rPr>
              <w:t>2. Основные индексы мирового и российского фондовых рынков</w:t>
            </w:r>
          </w:p>
          <w:p w:rsidR="005F3983" w:rsidRDefault="005126D8">
            <w:pPr>
              <w:spacing w:after="0" w:line="240" w:lineRule="auto"/>
              <w:jc w:val="both"/>
              <w:rPr>
                <w:sz w:val="24"/>
                <w:szCs w:val="24"/>
              </w:rPr>
            </w:pPr>
            <w:r>
              <w:rPr>
                <w:rFonts w:ascii="Times New Roman" w:hAnsi="Times New Roman" w:cs="Times New Roman"/>
                <w:color w:val="000000"/>
                <w:sz w:val="24"/>
                <w:szCs w:val="24"/>
              </w:rPr>
              <w:t>3. Преимущества и недостатки модели CAPM</w:t>
            </w:r>
          </w:p>
        </w:tc>
      </w:tr>
      <w:tr w:rsidR="005F3983">
        <w:trPr>
          <w:trHeight w:hRule="exact" w:val="14"/>
        </w:trPr>
        <w:tc>
          <w:tcPr>
            <w:tcW w:w="9640" w:type="dxa"/>
          </w:tcPr>
          <w:p w:rsidR="005F3983" w:rsidRDefault="005F3983"/>
        </w:tc>
      </w:tr>
      <w:tr w:rsidR="005F3983">
        <w:trPr>
          <w:trHeight w:hRule="exact" w:val="304"/>
        </w:trPr>
        <w:tc>
          <w:tcPr>
            <w:tcW w:w="9654" w:type="dxa"/>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t>Тема 6. Оценка рисков инвестиционных проектов</w:t>
            </w:r>
          </w:p>
        </w:tc>
      </w:tr>
      <w:tr w:rsidR="005F3983">
        <w:trPr>
          <w:trHeight w:hRule="exact" w:val="2448"/>
        </w:trPr>
        <w:tc>
          <w:tcPr>
            <w:tcW w:w="9654" w:type="dxa"/>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t>1. Основные определения и классификация рисков инвестиционного проектирования</w:t>
            </w:r>
          </w:p>
          <w:p w:rsidR="005F3983" w:rsidRDefault="005126D8">
            <w:pPr>
              <w:spacing w:after="0" w:line="240" w:lineRule="auto"/>
              <w:jc w:val="both"/>
              <w:rPr>
                <w:sz w:val="24"/>
                <w:szCs w:val="24"/>
              </w:rPr>
            </w:pPr>
            <w:r>
              <w:rPr>
                <w:rFonts w:ascii="Times New Roman" w:hAnsi="Times New Roman" w:cs="Times New Roman"/>
                <w:color w:val="000000"/>
                <w:sz w:val="24"/>
                <w:szCs w:val="24"/>
              </w:rPr>
              <w:t>2. Имитационная модель учета риска</w:t>
            </w:r>
          </w:p>
          <w:p w:rsidR="005F3983" w:rsidRDefault="005126D8">
            <w:pPr>
              <w:spacing w:after="0" w:line="240" w:lineRule="auto"/>
              <w:jc w:val="both"/>
              <w:rPr>
                <w:sz w:val="24"/>
                <w:szCs w:val="24"/>
              </w:rPr>
            </w:pPr>
            <w:r>
              <w:rPr>
                <w:rFonts w:ascii="Times New Roman" w:hAnsi="Times New Roman" w:cs="Times New Roman"/>
                <w:color w:val="000000"/>
                <w:sz w:val="24"/>
                <w:szCs w:val="24"/>
              </w:rPr>
              <w:t>3. Анализ чувствительности инвестиционного проекта</w:t>
            </w:r>
          </w:p>
          <w:p w:rsidR="005F3983" w:rsidRDefault="005126D8">
            <w:pPr>
              <w:spacing w:after="0" w:line="240" w:lineRule="auto"/>
              <w:jc w:val="both"/>
              <w:rPr>
                <w:sz w:val="24"/>
                <w:szCs w:val="24"/>
              </w:rPr>
            </w:pPr>
            <w:r>
              <w:rPr>
                <w:rFonts w:ascii="Times New Roman" w:hAnsi="Times New Roman" w:cs="Times New Roman"/>
                <w:color w:val="000000"/>
                <w:sz w:val="24"/>
                <w:szCs w:val="24"/>
              </w:rPr>
              <w:t>4. Имитационное моделирование Монте-Карло</w:t>
            </w:r>
          </w:p>
          <w:p w:rsidR="005F3983" w:rsidRDefault="005126D8">
            <w:pPr>
              <w:spacing w:after="0" w:line="240" w:lineRule="auto"/>
              <w:jc w:val="both"/>
              <w:rPr>
                <w:sz w:val="24"/>
                <w:szCs w:val="24"/>
              </w:rPr>
            </w:pPr>
            <w:r>
              <w:rPr>
                <w:rFonts w:ascii="Times New Roman" w:hAnsi="Times New Roman" w:cs="Times New Roman"/>
                <w:color w:val="000000"/>
                <w:sz w:val="24"/>
                <w:szCs w:val="24"/>
              </w:rPr>
              <w:t>5. Метод построения дерева решений проекта</w:t>
            </w:r>
          </w:p>
          <w:p w:rsidR="005F3983" w:rsidRDefault="005126D8">
            <w:pPr>
              <w:spacing w:after="0" w:line="240" w:lineRule="auto"/>
              <w:jc w:val="both"/>
              <w:rPr>
                <w:sz w:val="24"/>
                <w:szCs w:val="24"/>
              </w:rPr>
            </w:pPr>
            <w:r>
              <w:rPr>
                <w:rFonts w:ascii="Times New Roman" w:hAnsi="Times New Roman" w:cs="Times New Roman"/>
                <w:color w:val="000000"/>
                <w:sz w:val="24"/>
                <w:szCs w:val="24"/>
              </w:rPr>
              <w:t>6. Метод корректировки на риск денежного потока</w:t>
            </w:r>
          </w:p>
          <w:p w:rsidR="005F3983" w:rsidRDefault="005126D8">
            <w:pPr>
              <w:spacing w:after="0" w:line="240" w:lineRule="auto"/>
              <w:jc w:val="both"/>
              <w:rPr>
                <w:sz w:val="24"/>
                <w:szCs w:val="24"/>
              </w:rPr>
            </w:pPr>
            <w:r>
              <w:rPr>
                <w:rFonts w:ascii="Times New Roman" w:hAnsi="Times New Roman" w:cs="Times New Roman"/>
                <w:color w:val="000000"/>
                <w:sz w:val="24"/>
                <w:szCs w:val="24"/>
              </w:rPr>
              <w:t>7. Метод корректировки коэффициента дисконтирования на риск инвестиционного проекта</w:t>
            </w:r>
          </w:p>
        </w:tc>
      </w:tr>
      <w:tr w:rsidR="005F3983">
        <w:trPr>
          <w:trHeight w:hRule="exact" w:val="14"/>
        </w:trPr>
        <w:tc>
          <w:tcPr>
            <w:tcW w:w="9640" w:type="dxa"/>
          </w:tcPr>
          <w:p w:rsidR="005F3983" w:rsidRDefault="005F3983"/>
        </w:tc>
      </w:tr>
      <w:tr w:rsidR="005F3983">
        <w:trPr>
          <w:trHeight w:hRule="exact" w:val="304"/>
        </w:trPr>
        <w:tc>
          <w:tcPr>
            <w:tcW w:w="9654" w:type="dxa"/>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t>Тема 7. Международные стандарты управления рисками</w:t>
            </w:r>
          </w:p>
        </w:tc>
      </w:tr>
      <w:tr w:rsidR="005F3983">
        <w:trPr>
          <w:trHeight w:hRule="exact" w:val="2178"/>
        </w:trPr>
        <w:tc>
          <w:tcPr>
            <w:tcW w:w="9654" w:type="dxa"/>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t>Международные стандарты и системы управления рисками.</w:t>
            </w:r>
          </w:p>
          <w:p w:rsidR="005F3983" w:rsidRDefault="005126D8">
            <w:pPr>
              <w:spacing w:after="0" w:line="240" w:lineRule="auto"/>
              <w:jc w:val="both"/>
              <w:rPr>
                <w:sz w:val="24"/>
                <w:szCs w:val="24"/>
              </w:rPr>
            </w:pPr>
            <w:r>
              <w:rPr>
                <w:rFonts w:ascii="Times New Roman" w:hAnsi="Times New Roman" w:cs="Times New Roman"/>
                <w:color w:val="000000"/>
                <w:sz w:val="24"/>
                <w:szCs w:val="24"/>
              </w:rPr>
              <w:t>2. AIRMIC/ALARM/IRM Risk Management Standard, 2002.</w:t>
            </w:r>
          </w:p>
          <w:p w:rsidR="005F3983" w:rsidRDefault="005126D8">
            <w:pPr>
              <w:spacing w:after="0" w:line="240" w:lineRule="auto"/>
              <w:jc w:val="both"/>
              <w:rPr>
                <w:sz w:val="24"/>
                <w:szCs w:val="24"/>
              </w:rPr>
            </w:pPr>
            <w:r>
              <w:rPr>
                <w:rFonts w:ascii="Times New Roman" w:hAnsi="Times New Roman" w:cs="Times New Roman"/>
                <w:color w:val="000000"/>
                <w:sz w:val="24"/>
                <w:szCs w:val="24"/>
              </w:rPr>
              <w:t>3. The Australia/New Zealand Standard AS/NZS 4360: 2004</w:t>
            </w:r>
          </w:p>
          <w:p w:rsidR="005F3983" w:rsidRDefault="005126D8">
            <w:pPr>
              <w:spacing w:after="0" w:line="240" w:lineRule="auto"/>
              <w:jc w:val="both"/>
              <w:rPr>
                <w:sz w:val="24"/>
                <w:szCs w:val="24"/>
              </w:rPr>
            </w:pPr>
            <w:r>
              <w:rPr>
                <w:rFonts w:ascii="Times New Roman" w:hAnsi="Times New Roman" w:cs="Times New Roman"/>
                <w:color w:val="000000"/>
                <w:sz w:val="24"/>
                <w:szCs w:val="24"/>
              </w:rPr>
              <w:t>4. The COSO Enterprise Risk Management-Integrated Framework, 2004.</w:t>
            </w:r>
          </w:p>
          <w:p w:rsidR="005F3983" w:rsidRDefault="005126D8">
            <w:pPr>
              <w:spacing w:after="0" w:line="240" w:lineRule="auto"/>
              <w:jc w:val="both"/>
              <w:rPr>
                <w:sz w:val="24"/>
                <w:szCs w:val="24"/>
              </w:rPr>
            </w:pPr>
            <w:r>
              <w:rPr>
                <w:rFonts w:ascii="Times New Roman" w:hAnsi="Times New Roman" w:cs="Times New Roman"/>
                <w:color w:val="000000"/>
                <w:sz w:val="24"/>
                <w:szCs w:val="24"/>
              </w:rPr>
              <w:t>5. Стандарт IEC 31010:2019 Управление рисками – методы оценки рисков (Risk management – Risk assessment techniques)</w:t>
            </w:r>
          </w:p>
          <w:p w:rsidR="005F3983" w:rsidRDefault="005126D8">
            <w:pPr>
              <w:spacing w:after="0" w:line="240" w:lineRule="auto"/>
              <w:jc w:val="both"/>
              <w:rPr>
                <w:sz w:val="24"/>
                <w:szCs w:val="24"/>
              </w:rPr>
            </w:pPr>
            <w:r>
              <w:rPr>
                <w:rFonts w:ascii="Times New Roman" w:hAnsi="Times New Roman" w:cs="Times New Roman"/>
                <w:color w:val="000000"/>
                <w:sz w:val="24"/>
                <w:szCs w:val="24"/>
              </w:rPr>
              <w:t>6. Стандарт ISO 31000:2018 Управление рисками – Рекомендации (Risk management – Guidelines)</w:t>
            </w:r>
          </w:p>
        </w:tc>
      </w:tr>
      <w:tr w:rsidR="005F3983">
        <w:trPr>
          <w:trHeight w:hRule="exact" w:val="277"/>
        </w:trPr>
        <w:tc>
          <w:tcPr>
            <w:tcW w:w="9654" w:type="dxa"/>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F3983">
        <w:trPr>
          <w:trHeight w:hRule="exact" w:val="146"/>
        </w:trPr>
        <w:tc>
          <w:tcPr>
            <w:tcW w:w="9640" w:type="dxa"/>
          </w:tcPr>
          <w:p w:rsidR="005F3983" w:rsidRDefault="005F3983"/>
        </w:tc>
      </w:tr>
      <w:tr w:rsidR="005F3983">
        <w:trPr>
          <w:trHeight w:hRule="exact" w:val="314"/>
        </w:trPr>
        <w:tc>
          <w:tcPr>
            <w:tcW w:w="9654" w:type="dxa"/>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t>Тема 1. Анализ и оценки риска в системе управления предприятием</w:t>
            </w:r>
          </w:p>
        </w:tc>
      </w:tr>
      <w:tr w:rsidR="005F3983">
        <w:trPr>
          <w:trHeight w:hRule="exact" w:val="21"/>
        </w:trPr>
        <w:tc>
          <w:tcPr>
            <w:tcW w:w="9640" w:type="dxa"/>
          </w:tcPr>
          <w:p w:rsidR="005F3983" w:rsidRDefault="005F3983"/>
        </w:tc>
      </w:tr>
      <w:tr w:rsidR="005F3983">
        <w:trPr>
          <w:trHeight w:hRule="exact" w:val="855"/>
        </w:trPr>
        <w:tc>
          <w:tcPr>
            <w:tcW w:w="9654"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Управление рисками предприятия.</w:t>
            </w:r>
          </w:p>
          <w:p w:rsidR="005F3983" w:rsidRDefault="005126D8">
            <w:pPr>
              <w:spacing w:after="0" w:line="240" w:lineRule="auto"/>
              <w:rPr>
                <w:sz w:val="24"/>
                <w:szCs w:val="24"/>
              </w:rPr>
            </w:pPr>
            <w:r>
              <w:rPr>
                <w:rFonts w:ascii="Times New Roman" w:hAnsi="Times New Roman" w:cs="Times New Roman"/>
                <w:color w:val="000000"/>
                <w:sz w:val="24"/>
                <w:szCs w:val="24"/>
              </w:rPr>
              <w:t>2. Характеристика основных элементов системы управления рисками предприятия. Алгоритм управления рисками предприятия.</w:t>
            </w:r>
          </w:p>
        </w:tc>
      </w:tr>
      <w:tr w:rsidR="005F3983">
        <w:trPr>
          <w:trHeight w:hRule="exact" w:val="8"/>
        </w:trPr>
        <w:tc>
          <w:tcPr>
            <w:tcW w:w="9640" w:type="dxa"/>
          </w:tcPr>
          <w:p w:rsidR="005F3983" w:rsidRDefault="005F3983"/>
        </w:tc>
      </w:tr>
      <w:tr w:rsidR="005F3983">
        <w:trPr>
          <w:trHeight w:hRule="exact" w:val="314"/>
        </w:trPr>
        <w:tc>
          <w:tcPr>
            <w:tcW w:w="9654" w:type="dxa"/>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t>Тема 2. Измерители и показатели производственных рисков</w:t>
            </w:r>
          </w:p>
        </w:tc>
      </w:tr>
      <w:tr w:rsidR="005F3983">
        <w:trPr>
          <w:trHeight w:hRule="exact" w:val="21"/>
        </w:trPr>
        <w:tc>
          <w:tcPr>
            <w:tcW w:w="9640" w:type="dxa"/>
          </w:tcPr>
          <w:p w:rsidR="005F3983" w:rsidRDefault="005F3983"/>
        </w:tc>
      </w:tr>
      <w:tr w:rsidR="005F3983">
        <w:trPr>
          <w:trHeight w:hRule="exact" w:val="1125"/>
        </w:trPr>
        <w:tc>
          <w:tcPr>
            <w:tcW w:w="9654"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1. Математические модели и методы оценки риска: методы анализа операционных рисков предприятия; измерители и система показатели оценки риска.</w:t>
            </w:r>
          </w:p>
          <w:p w:rsidR="005F3983" w:rsidRDefault="005126D8">
            <w:pPr>
              <w:spacing w:after="0" w:line="240" w:lineRule="auto"/>
              <w:rPr>
                <w:sz w:val="24"/>
                <w:szCs w:val="24"/>
              </w:rPr>
            </w:pPr>
            <w:r>
              <w:rPr>
                <w:rFonts w:ascii="Times New Roman" w:hAnsi="Times New Roman" w:cs="Times New Roman"/>
                <w:color w:val="000000"/>
                <w:sz w:val="24"/>
                <w:szCs w:val="24"/>
              </w:rPr>
              <w:t>2. Система показателей оценки риска.</w:t>
            </w:r>
          </w:p>
          <w:p w:rsidR="005F3983" w:rsidRDefault="005126D8">
            <w:pPr>
              <w:spacing w:after="0" w:line="240" w:lineRule="auto"/>
              <w:rPr>
                <w:sz w:val="24"/>
                <w:szCs w:val="24"/>
              </w:rPr>
            </w:pPr>
            <w:r>
              <w:rPr>
                <w:rFonts w:ascii="Times New Roman" w:hAnsi="Times New Roman" w:cs="Times New Roman"/>
                <w:color w:val="000000"/>
                <w:sz w:val="24"/>
                <w:szCs w:val="24"/>
              </w:rPr>
              <w:t>3. Показатели оценки риска в условиях неопределенности.</w:t>
            </w:r>
          </w:p>
        </w:tc>
      </w:tr>
      <w:tr w:rsidR="005F3983">
        <w:trPr>
          <w:trHeight w:hRule="exact" w:val="8"/>
        </w:trPr>
        <w:tc>
          <w:tcPr>
            <w:tcW w:w="9640" w:type="dxa"/>
          </w:tcPr>
          <w:p w:rsidR="005F3983" w:rsidRDefault="005F3983"/>
        </w:tc>
      </w:tr>
      <w:tr w:rsidR="005F3983">
        <w:trPr>
          <w:trHeight w:hRule="exact" w:val="314"/>
        </w:trPr>
        <w:tc>
          <w:tcPr>
            <w:tcW w:w="9654" w:type="dxa"/>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t>Тема 3. Методы анализа и оценки рисков предприятия</w:t>
            </w:r>
          </w:p>
        </w:tc>
      </w:tr>
      <w:tr w:rsidR="005F3983">
        <w:trPr>
          <w:trHeight w:hRule="exact" w:val="21"/>
        </w:trPr>
        <w:tc>
          <w:tcPr>
            <w:tcW w:w="9640" w:type="dxa"/>
          </w:tcPr>
          <w:p w:rsidR="005F3983" w:rsidRDefault="005F3983"/>
        </w:tc>
      </w:tr>
      <w:tr w:rsidR="005F3983">
        <w:trPr>
          <w:trHeight w:hRule="exact" w:val="1125"/>
        </w:trPr>
        <w:tc>
          <w:tcPr>
            <w:tcW w:w="9654"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1. Методы анализа рисков.</w:t>
            </w:r>
          </w:p>
          <w:p w:rsidR="005F3983" w:rsidRDefault="005126D8">
            <w:pPr>
              <w:spacing w:after="0" w:line="240" w:lineRule="auto"/>
              <w:rPr>
                <w:sz w:val="24"/>
                <w:szCs w:val="24"/>
              </w:rPr>
            </w:pPr>
            <w:r>
              <w:rPr>
                <w:rFonts w:ascii="Times New Roman" w:hAnsi="Times New Roman" w:cs="Times New Roman"/>
                <w:color w:val="000000"/>
                <w:sz w:val="24"/>
                <w:szCs w:val="24"/>
              </w:rPr>
              <w:t>2. Формализация частичной неопределенности и применение теории вероятности в задачах оценки риска.</w:t>
            </w:r>
          </w:p>
          <w:p w:rsidR="005F3983" w:rsidRDefault="005126D8">
            <w:pPr>
              <w:spacing w:after="0" w:line="240" w:lineRule="auto"/>
              <w:rPr>
                <w:sz w:val="24"/>
                <w:szCs w:val="24"/>
              </w:rPr>
            </w:pPr>
            <w:r>
              <w:rPr>
                <w:rFonts w:ascii="Times New Roman" w:hAnsi="Times New Roman" w:cs="Times New Roman"/>
                <w:color w:val="000000"/>
                <w:sz w:val="24"/>
                <w:szCs w:val="24"/>
              </w:rPr>
              <w:t>3. Закон нормального распределения; интервальная оценка риска.</w:t>
            </w:r>
          </w:p>
        </w:tc>
      </w:tr>
      <w:tr w:rsidR="005F3983">
        <w:trPr>
          <w:trHeight w:hRule="exact" w:val="8"/>
        </w:trPr>
        <w:tc>
          <w:tcPr>
            <w:tcW w:w="9640" w:type="dxa"/>
          </w:tcPr>
          <w:p w:rsidR="005F3983" w:rsidRDefault="005F3983"/>
        </w:tc>
      </w:tr>
      <w:tr w:rsidR="005F3983">
        <w:trPr>
          <w:trHeight w:hRule="exact" w:val="314"/>
        </w:trPr>
        <w:tc>
          <w:tcPr>
            <w:tcW w:w="9654" w:type="dxa"/>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t>Тема 4. Экспертные методы оценки риска</w:t>
            </w:r>
          </w:p>
        </w:tc>
      </w:tr>
      <w:tr w:rsidR="005F3983">
        <w:trPr>
          <w:trHeight w:hRule="exact" w:val="21"/>
        </w:trPr>
        <w:tc>
          <w:tcPr>
            <w:tcW w:w="9640" w:type="dxa"/>
          </w:tcPr>
          <w:p w:rsidR="005F3983" w:rsidRDefault="005F3983"/>
        </w:tc>
      </w:tr>
      <w:tr w:rsidR="005F3983">
        <w:trPr>
          <w:trHeight w:hRule="exact" w:val="585"/>
        </w:trPr>
        <w:tc>
          <w:tcPr>
            <w:tcW w:w="9654"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1. Общие сведения о методе экспертных оценок</w:t>
            </w:r>
          </w:p>
          <w:p w:rsidR="005F3983" w:rsidRDefault="005126D8">
            <w:pPr>
              <w:spacing w:after="0" w:line="240" w:lineRule="auto"/>
              <w:rPr>
                <w:sz w:val="24"/>
                <w:szCs w:val="24"/>
              </w:rPr>
            </w:pPr>
            <w:r>
              <w:rPr>
                <w:rFonts w:ascii="Times New Roman" w:hAnsi="Times New Roman" w:cs="Times New Roman"/>
                <w:color w:val="000000"/>
                <w:sz w:val="24"/>
                <w:szCs w:val="24"/>
              </w:rPr>
              <w:t>2. Формирование экспертной группы</w:t>
            </w:r>
          </w:p>
        </w:tc>
      </w:tr>
      <w:tr w:rsidR="005F3983">
        <w:trPr>
          <w:trHeight w:hRule="exact" w:val="8"/>
        </w:trPr>
        <w:tc>
          <w:tcPr>
            <w:tcW w:w="9640" w:type="dxa"/>
          </w:tcPr>
          <w:p w:rsidR="005F3983" w:rsidRDefault="005F3983"/>
        </w:tc>
      </w:tr>
      <w:tr w:rsidR="005F3983">
        <w:trPr>
          <w:trHeight w:hRule="exact" w:val="314"/>
        </w:trPr>
        <w:tc>
          <w:tcPr>
            <w:tcW w:w="9654" w:type="dxa"/>
            <w:shd w:val="clear" w:color="000000" w:fill="FFFFFF"/>
            <w:tcMar>
              <w:left w:w="34" w:type="dxa"/>
              <w:right w:w="34" w:type="dxa"/>
            </w:tcMar>
          </w:tcPr>
          <w:p w:rsidR="005F3983" w:rsidRDefault="005126D8">
            <w:pPr>
              <w:spacing w:after="0" w:line="240" w:lineRule="auto"/>
              <w:jc w:val="center"/>
              <w:rPr>
                <w:sz w:val="24"/>
                <w:szCs w:val="24"/>
              </w:rPr>
            </w:pPr>
            <w:r>
              <w:rPr>
                <w:rFonts w:ascii="Times New Roman" w:hAnsi="Times New Roman" w:cs="Times New Roman"/>
                <w:b/>
                <w:color w:val="000000"/>
                <w:sz w:val="24"/>
                <w:szCs w:val="24"/>
              </w:rPr>
              <w:t>Тема 6. Оценка рисков инвестиционных проектов</w:t>
            </w:r>
          </w:p>
        </w:tc>
      </w:tr>
      <w:tr w:rsidR="005F3983">
        <w:trPr>
          <w:trHeight w:hRule="exact" w:val="21"/>
        </w:trPr>
        <w:tc>
          <w:tcPr>
            <w:tcW w:w="9640" w:type="dxa"/>
          </w:tcPr>
          <w:p w:rsidR="005F3983" w:rsidRDefault="005F3983"/>
        </w:tc>
      </w:tr>
      <w:tr w:rsidR="005F3983">
        <w:trPr>
          <w:trHeight w:hRule="exact" w:val="1735"/>
        </w:trPr>
        <w:tc>
          <w:tcPr>
            <w:tcW w:w="9654"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1. Основные определения и классификация рисков инвестиционного проектирования</w:t>
            </w:r>
          </w:p>
          <w:p w:rsidR="005F3983" w:rsidRDefault="005126D8">
            <w:pPr>
              <w:spacing w:after="0" w:line="240" w:lineRule="auto"/>
              <w:rPr>
                <w:sz w:val="24"/>
                <w:szCs w:val="24"/>
              </w:rPr>
            </w:pPr>
            <w:r>
              <w:rPr>
                <w:rFonts w:ascii="Times New Roman" w:hAnsi="Times New Roman" w:cs="Times New Roman"/>
                <w:color w:val="000000"/>
                <w:sz w:val="24"/>
                <w:szCs w:val="24"/>
              </w:rPr>
              <w:t>2. Имитационная модель учета риска</w:t>
            </w:r>
          </w:p>
          <w:p w:rsidR="005F3983" w:rsidRDefault="005126D8">
            <w:pPr>
              <w:spacing w:after="0" w:line="240" w:lineRule="auto"/>
              <w:rPr>
                <w:sz w:val="24"/>
                <w:szCs w:val="24"/>
              </w:rPr>
            </w:pPr>
            <w:r>
              <w:rPr>
                <w:rFonts w:ascii="Times New Roman" w:hAnsi="Times New Roman" w:cs="Times New Roman"/>
                <w:color w:val="000000"/>
                <w:sz w:val="24"/>
                <w:szCs w:val="24"/>
              </w:rPr>
              <w:t>3. Анализ чувствительности инвестиционного проекта</w:t>
            </w:r>
          </w:p>
          <w:p w:rsidR="005F3983" w:rsidRDefault="005126D8">
            <w:pPr>
              <w:spacing w:after="0" w:line="240" w:lineRule="auto"/>
              <w:rPr>
                <w:sz w:val="24"/>
                <w:szCs w:val="24"/>
              </w:rPr>
            </w:pPr>
            <w:r>
              <w:rPr>
                <w:rFonts w:ascii="Times New Roman" w:hAnsi="Times New Roman" w:cs="Times New Roman"/>
                <w:color w:val="000000"/>
                <w:sz w:val="24"/>
                <w:szCs w:val="24"/>
              </w:rPr>
              <w:t>4. Имитационное моделирование Монте-Карло</w:t>
            </w:r>
          </w:p>
          <w:p w:rsidR="005F3983" w:rsidRDefault="005126D8">
            <w:pPr>
              <w:spacing w:after="0" w:line="240" w:lineRule="auto"/>
              <w:rPr>
                <w:sz w:val="24"/>
                <w:szCs w:val="24"/>
              </w:rPr>
            </w:pPr>
            <w:r>
              <w:rPr>
                <w:rFonts w:ascii="Times New Roman" w:hAnsi="Times New Roman" w:cs="Times New Roman"/>
                <w:color w:val="000000"/>
                <w:sz w:val="24"/>
                <w:szCs w:val="24"/>
              </w:rPr>
              <w:t>5. Метод построения дерева решений проекта</w:t>
            </w:r>
          </w:p>
          <w:p w:rsidR="005F3983" w:rsidRDefault="005126D8">
            <w:pPr>
              <w:spacing w:after="0" w:line="240" w:lineRule="auto"/>
              <w:rPr>
                <w:sz w:val="24"/>
                <w:szCs w:val="24"/>
              </w:rPr>
            </w:pPr>
            <w:r>
              <w:rPr>
                <w:rFonts w:ascii="Times New Roman" w:hAnsi="Times New Roman" w:cs="Times New Roman"/>
                <w:color w:val="000000"/>
                <w:sz w:val="24"/>
                <w:szCs w:val="24"/>
              </w:rPr>
              <w:t>6. Метод корректировки на риск денежного потока</w:t>
            </w:r>
          </w:p>
        </w:tc>
      </w:tr>
    </w:tbl>
    <w:p w:rsidR="005F3983" w:rsidRDefault="005126D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F3983">
        <w:trPr>
          <w:trHeight w:hRule="exact" w:val="585"/>
        </w:trPr>
        <w:tc>
          <w:tcPr>
            <w:tcW w:w="9654" w:type="dxa"/>
            <w:gridSpan w:val="2"/>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lastRenderedPageBreak/>
              <w:t>7. Метод корректировки коэффициента дисконтирования на риск инвестиционного проекта</w:t>
            </w:r>
          </w:p>
        </w:tc>
      </w:tr>
      <w:tr w:rsidR="005F3983">
        <w:trPr>
          <w:trHeight w:hRule="exact" w:val="855"/>
        </w:trPr>
        <w:tc>
          <w:tcPr>
            <w:tcW w:w="9654" w:type="dxa"/>
            <w:gridSpan w:val="2"/>
            <w:shd w:val="clear" w:color="000000" w:fill="FFFFFF"/>
            <w:tcMar>
              <w:left w:w="34" w:type="dxa"/>
              <w:right w:w="34" w:type="dxa"/>
            </w:tcMar>
          </w:tcPr>
          <w:p w:rsidR="005F3983" w:rsidRDefault="005F3983">
            <w:pPr>
              <w:spacing w:after="0" w:line="240" w:lineRule="auto"/>
              <w:rPr>
                <w:sz w:val="24"/>
                <w:szCs w:val="24"/>
              </w:rPr>
            </w:pPr>
          </w:p>
          <w:p w:rsidR="005F3983" w:rsidRDefault="005126D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F3983">
        <w:trPr>
          <w:trHeight w:hRule="exact" w:val="4912"/>
        </w:trPr>
        <w:tc>
          <w:tcPr>
            <w:tcW w:w="9654" w:type="dxa"/>
            <w:gridSpan w:val="2"/>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«Методы оценки рисков. Международные стандарты риск-менеджмента» / Сергиенко О.В.. – Омск: Изд-во Омской гуманитарной академии, 2022.</w:t>
            </w:r>
          </w:p>
          <w:p w:rsidR="005F3983" w:rsidRDefault="005126D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F3983" w:rsidRDefault="005126D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F3983" w:rsidRDefault="005126D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F3983">
        <w:trPr>
          <w:trHeight w:hRule="exact" w:val="138"/>
        </w:trPr>
        <w:tc>
          <w:tcPr>
            <w:tcW w:w="285" w:type="dxa"/>
          </w:tcPr>
          <w:p w:rsidR="005F3983" w:rsidRDefault="005F3983"/>
        </w:tc>
        <w:tc>
          <w:tcPr>
            <w:tcW w:w="9356" w:type="dxa"/>
          </w:tcPr>
          <w:p w:rsidR="005F3983" w:rsidRDefault="005F3983"/>
        </w:tc>
      </w:tr>
      <w:tr w:rsidR="005F3983">
        <w:trPr>
          <w:trHeight w:hRule="exact" w:val="855"/>
        </w:trPr>
        <w:tc>
          <w:tcPr>
            <w:tcW w:w="9654" w:type="dxa"/>
            <w:gridSpan w:val="2"/>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F3983" w:rsidRDefault="005126D8">
            <w:pPr>
              <w:spacing w:after="0" w:line="240" w:lineRule="auto"/>
              <w:rPr>
                <w:sz w:val="24"/>
                <w:szCs w:val="24"/>
              </w:rPr>
            </w:pPr>
            <w:r>
              <w:rPr>
                <w:rFonts w:ascii="Times New Roman" w:hAnsi="Times New Roman" w:cs="Times New Roman"/>
                <w:b/>
                <w:color w:val="000000"/>
                <w:sz w:val="24"/>
                <w:szCs w:val="24"/>
              </w:rPr>
              <w:t>Основная:</w:t>
            </w:r>
          </w:p>
        </w:tc>
      </w:tr>
      <w:tr w:rsidR="005F3983">
        <w:trPr>
          <w:trHeight w:hRule="exact" w:val="826"/>
        </w:trPr>
        <w:tc>
          <w:tcPr>
            <w:tcW w:w="9654" w:type="dxa"/>
            <w:gridSpan w:val="2"/>
            <w:shd w:val="clear" w:color="000000" w:fill="FFFFFF"/>
            <w:tcMar>
              <w:left w:w="34" w:type="dxa"/>
              <w:right w:w="34" w:type="dxa"/>
            </w:tcMar>
          </w:tcPr>
          <w:p w:rsidR="005F3983" w:rsidRDefault="005126D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Гамза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C431D">
                <w:rPr>
                  <w:rStyle w:val="a3"/>
                </w:rPr>
                <w:t>https://urait.ru/bcode/469020</w:t>
              </w:r>
            </w:hyperlink>
            <w:r>
              <w:t xml:space="preserve"> </w:t>
            </w:r>
          </w:p>
        </w:tc>
      </w:tr>
      <w:tr w:rsidR="005F3983">
        <w:trPr>
          <w:trHeight w:hRule="exact" w:val="1366"/>
        </w:trPr>
        <w:tc>
          <w:tcPr>
            <w:tcW w:w="9654" w:type="dxa"/>
            <w:gridSpan w:val="2"/>
            <w:shd w:val="clear" w:color="000000" w:fill="FFFFFF"/>
            <w:tcMar>
              <w:left w:w="34" w:type="dxa"/>
              <w:right w:w="34" w:type="dxa"/>
            </w:tcMar>
          </w:tcPr>
          <w:p w:rsidR="005F3983" w:rsidRDefault="005126D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финансовыми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Саввина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Асяева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Перепелица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Злизина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Южакова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Алеканов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Кузенкова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Пещанская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978-5-534-13380-6.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C431D">
                <w:rPr>
                  <w:rStyle w:val="a3"/>
                </w:rPr>
                <w:t>https://urait.ru/bcode/458713</w:t>
              </w:r>
            </w:hyperlink>
            <w:r>
              <w:t xml:space="preserve"> </w:t>
            </w:r>
          </w:p>
        </w:tc>
      </w:tr>
      <w:tr w:rsidR="005F3983">
        <w:trPr>
          <w:trHeight w:hRule="exact" w:val="555"/>
        </w:trPr>
        <w:tc>
          <w:tcPr>
            <w:tcW w:w="9654" w:type="dxa"/>
            <w:gridSpan w:val="2"/>
            <w:shd w:val="clear" w:color="000000" w:fill="FFFFFF"/>
            <w:tcMar>
              <w:left w:w="34" w:type="dxa"/>
              <w:right w:w="34" w:type="dxa"/>
            </w:tcMar>
          </w:tcPr>
          <w:p w:rsidR="005F3983" w:rsidRDefault="005126D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978-5-534-12206-0.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C431D">
                <w:rPr>
                  <w:rStyle w:val="a3"/>
                </w:rPr>
                <w:t>https://urait.ru/bcode/489580</w:t>
              </w:r>
            </w:hyperlink>
            <w:r>
              <w:t xml:space="preserve"> </w:t>
            </w:r>
          </w:p>
        </w:tc>
      </w:tr>
      <w:tr w:rsidR="005F3983">
        <w:trPr>
          <w:trHeight w:hRule="exact" w:val="826"/>
        </w:trPr>
        <w:tc>
          <w:tcPr>
            <w:tcW w:w="9654" w:type="dxa"/>
            <w:gridSpan w:val="2"/>
            <w:shd w:val="clear" w:color="000000" w:fill="FFFFFF"/>
            <w:tcMar>
              <w:left w:w="34" w:type="dxa"/>
              <w:right w:w="34" w:type="dxa"/>
            </w:tcMar>
          </w:tcPr>
          <w:p w:rsidR="005F3983" w:rsidRDefault="005126D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978-5-534-00375-8.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C431D">
                <w:rPr>
                  <w:rStyle w:val="a3"/>
                </w:rPr>
                <w:t>https://urait.ru/bcode/468977</w:t>
              </w:r>
            </w:hyperlink>
            <w:r>
              <w:t xml:space="preserve"> </w:t>
            </w:r>
          </w:p>
        </w:tc>
      </w:tr>
      <w:tr w:rsidR="005F3983">
        <w:trPr>
          <w:trHeight w:hRule="exact" w:val="277"/>
        </w:trPr>
        <w:tc>
          <w:tcPr>
            <w:tcW w:w="285" w:type="dxa"/>
          </w:tcPr>
          <w:p w:rsidR="005F3983" w:rsidRDefault="005F3983"/>
        </w:tc>
        <w:tc>
          <w:tcPr>
            <w:tcW w:w="9370"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i/>
                <w:color w:val="000000"/>
                <w:sz w:val="24"/>
                <w:szCs w:val="24"/>
              </w:rPr>
              <w:t>Дополнительная:</w:t>
            </w:r>
          </w:p>
        </w:tc>
      </w:tr>
      <w:tr w:rsidR="005F3983">
        <w:trPr>
          <w:trHeight w:hRule="exact" w:val="26"/>
        </w:trPr>
        <w:tc>
          <w:tcPr>
            <w:tcW w:w="9654" w:type="dxa"/>
            <w:gridSpan w:val="2"/>
            <w:vMerge w:val="restart"/>
            <w:shd w:val="clear" w:color="000000" w:fill="FFFFFF"/>
            <w:tcMar>
              <w:left w:w="34" w:type="dxa"/>
              <w:right w:w="34" w:type="dxa"/>
            </w:tcMar>
          </w:tcPr>
          <w:p w:rsidR="005F3983" w:rsidRDefault="005126D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C431D">
                <w:rPr>
                  <w:rStyle w:val="a3"/>
                </w:rPr>
                <w:t>https://urait.ru/bcode/490636</w:t>
              </w:r>
            </w:hyperlink>
            <w:r>
              <w:t xml:space="preserve"> </w:t>
            </w:r>
          </w:p>
        </w:tc>
      </w:tr>
      <w:tr w:rsidR="005F3983">
        <w:trPr>
          <w:trHeight w:hRule="exact" w:val="799"/>
        </w:trPr>
        <w:tc>
          <w:tcPr>
            <w:tcW w:w="9654" w:type="dxa"/>
            <w:gridSpan w:val="2"/>
            <w:vMerge/>
            <w:shd w:val="clear" w:color="000000" w:fill="FFFFFF"/>
            <w:tcMar>
              <w:left w:w="34" w:type="dxa"/>
              <w:right w:w="34" w:type="dxa"/>
            </w:tcMar>
          </w:tcPr>
          <w:p w:rsidR="005F3983" w:rsidRDefault="005F3983"/>
        </w:tc>
      </w:tr>
      <w:tr w:rsidR="005F3983">
        <w:trPr>
          <w:trHeight w:hRule="exact" w:val="826"/>
        </w:trPr>
        <w:tc>
          <w:tcPr>
            <w:tcW w:w="9654" w:type="dxa"/>
            <w:gridSpan w:val="2"/>
            <w:shd w:val="clear" w:color="000000" w:fill="FFFFFF"/>
            <w:tcMar>
              <w:left w:w="34" w:type="dxa"/>
              <w:right w:w="34" w:type="dxa"/>
            </w:tcMar>
          </w:tcPr>
          <w:p w:rsidR="005F3983" w:rsidRDefault="005126D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C431D">
                <w:rPr>
                  <w:rStyle w:val="a3"/>
                </w:rPr>
                <w:t>https://urait.ru/bcode/490635</w:t>
              </w:r>
            </w:hyperlink>
            <w:r>
              <w:t xml:space="preserve"> </w:t>
            </w:r>
          </w:p>
        </w:tc>
      </w:tr>
      <w:tr w:rsidR="005F3983">
        <w:trPr>
          <w:trHeight w:hRule="exact" w:val="826"/>
        </w:trPr>
        <w:tc>
          <w:tcPr>
            <w:tcW w:w="9654" w:type="dxa"/>
            <w:gridSpan w:val="2"/>
            <w:shd w:val="clear" w:color="000000" w:fill="FFFFFF"/>
            <w:tcMar>
              <w:left w:w="34" w:type="dxa"/>
              <w:right w:w="34" w:type="dxa"/>
            </w:tcMar>
          </w:tcPr>
          <w:p w:rsidR="005F3983" w:rsidRDefault="005126D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C431D">
                <w:rPr>
                  <w:rStyle w:val="a3"/>
                </w:rPr>
                <w:t>https://urait.ru/bcode/490634</w:t>
              </w:r>
            </w:hyperlink>
            <w:r>
              <w:t xml:space="preserve"> </w:t>
            </w:r>
          </w:p>
        </w:tc>
      </w:tr>
      <w:tr w:rsidR="005F3983">
        <w:trPr>
          <w:trHeight w:hRule="exact" w:val="585"/>
        </w:trPr>
        <w:tc>
          <w:tcPr>
            <w:tcW w:w="9654" w:type="dxa"/>
            <w:gridSpan w:val="2"/>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F3983">
        <w:trPr>
          <w:trHeight w:hRule="exact" w:val="1128"/>
        </w:trPr>
        <w:tc>
          <w:tcPr>
            <w:tcW w:w="9654" w:type="dxa"/>
            <w:gridSpan w:val="2"/>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EC431D">
                <w:rPr>
                  <w:rStyle w:val="a3"/>
                  <w:rFonts w:ascii="Times New Roman" w:hAnsi="Times New Roman" w:cs="Times New Roman"/>
                  <w:sz w:val="24"/>
                  <w:szCs w:val="24"/>
                </w:rPr>
                <w:t>http://www.iprbookshop.ru</w:t>
              </w:r>
            </w:hyperlink>
          </w:p>
          <w:p w:rsidR="005F3983" w:rsidRDefault="005126D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EC431D">
                <w:rPr>
                  <w:rStyle w:val="a3"/>
                  <w:rFonts w:ascii="Times New Roman" w:hAnsi="Times New Roman" w:cs="Times New Roman"/>
                  <w:sz w:val="24"/>
                  <w:szCs w:val="24"/>
                </w:rPr>
                <w:t>http://biblio-online.ru</w:t>
              </w:r>
            </w:hyperlink>
          </w:p>
          <w:p w:rsidR="005F3983" w:rsidRDefault="005126D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EC431D">
                <w:rPr>
                  <w:rStyle w:val="a3"/>
                  <w:rFonts w:ascii="Times New Roman" w:hAnsi="Times New Roman" w:cs="Times New Roman"/>
                  <w:sz w:val="24"/>
                  <w:szCs w:val="24"/>
                </w:rPr>
                <w:t>http://window.edu.ru/</w:t>
              </w:r>
            </w:hyperlink>
          </w:p>
        </w:tc>
      </w:tr>
    </w:tbl>
    <w:p w:rsidR="005F3983" w:rsidRDefault="0051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3983">
        <w:trPr>
          <w:trHeight w:hRule="exact" w:val="8669"/>
        </w:trPr>
        <w:tc>
          <w:tcPr>
            <w:tcW w:w="9654" w:type="dxa"/>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4" w:history="1">
              <w:r w:rsidR="00EC431D">
                <w:rPr>
                  <w:rStyle w:val="a3"/>
                  <w:rFonts w:ascii="Times New Roman" w:hAnsi="Times New Roman" w:cs="Times New Roman"/>
                  <w:sz w:val="24"/>
                  <w:szCs w:val="24"/>
                </w:rPr>
                <w:t>http://elibrary.ru</w:t>
              </w:r>
            </w:hyperlink>
          </w:p>
          <w:p w:rsidR="005F3983" w:rsidRDefault="005126D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EC431D">
                <w:rPr>
                  <w:rStyle w:val="a3"/>
                  <w:rFonts w:ascii="Times New Roman" w:hAnsi="Times New Roman" w:cs="Times New Roman"/>
                  <w:sz w:val="24"/>
                  <w:szCs w:val="24"/>
                </w:rPr>
                <w:t>http://www.sciencedirect.com</w:t>
              </w:r>
            </w:hyperlink>
          </w:p>
          <w:p w:rsidR="005F3983" w:rsidRDefault="005126D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5F3983" w:rsidRDefault="005126D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EC431D">
                <w:rPr>
                  <w:rStyle w:val="a3"/>
                  <w:rFonts w:ascii="Times New Roman" w:hAnsi="Times New Roman" w:cs="Times New Roman"/>
                  <w:sz w:val="24"/>
                  <w:szCs w:val="24"/>
                </w:rPr>
                <w:t>http://journals.cambridge.org</w:t>
              </w:r>
            </w:hyperlink>
          </w:p>
          <w:p w:rsidR="005F3983" w:rsidRDefault="005126D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EC431D">
                <w:rPr>
                  <w:rStyle w:val="a3"/>
                  <w:rFonts w:ascii="Times New Roman" w:hAnsi="Times New Roman" w:cs="Times New Roman"/>
                  <w:sz w:val="24"/>
                  <w:szCs w:val="24"/>
                </w:rPr>
                <w:t>http://www.oxfordjoumals.org</w:t>
              </w:r>
            </w:hyperlink>
          </w:p>
          <w:p w:rsidR="005F3983" w:rsidRDefault="005126D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EC431D">
                <w:rPr>
                  <w:rStyle w:val="a3"/>
                  <w:rFonts w:ascii="Times New Roman" w:hAnsi="Times New Roman" w:cs="Times New Roman"/>
                  <w:sz w:val="24"/>
                  <w:szCs w:val="24"/>
                </w:rPr>
                <w:t>http://dic.academic.ru/</w:t>
              </w:r>
            </w:hyperlink>
          </w:p>
          <w:p w:rsidR="005F3983" w:rsidRDefault="005126D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EC431D">
                <w:rPr>
                  <w:rStyle w:val="a3"/>
                  <w:rFonts w:ascii="Times New Roman" w:hAnsi="Times New Roman" w:cs="Times New Roman"/>
                  <w:sz w:val="24"/>
                  <w:szCs w:val="24"/>
                </w:rPr>
                <w:t>http://www.benran.ru</w:t>
              </w:r>
            </w:hyperlink>
          </w:p>
          <w:p w:rsidR="005F3983" w:rsidRDefault="005126D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EC431D">
                <w:rPr>
                  <w:rStyle w:val="a3"/>
                  <w:rFonts w:ascii="Times New Roman" w:hAnsi="Times New Roman" w:cs="Times New Roman"/>
                  <w:sz w:val="24"/>
                  <w:szCs w:val="24"/>
                </w:rPr>
                <w:t>http://www.gks.ru</w:t>
              </w:r>
            </w:hyperlink>
          </w:p>
          <w:p w:rsidR="005F3983" w:rsidRDefault="005126D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EC431D">
                <w:rPr>
                  <w:rStyle w:val="a3"/>
                  <w:rFonts w:ascii="Times New Roman" w:hAnsi="Times New Roman" w:cs="Times New Roman"/>
                  <w:sz w:val="24"/>
                  <w:szCs w:val="24"/>
                </w:rPr>
                <w:t>http://diss.rsl.ru</w:t>
              </w:r>
            </w:hyperlink>
          </w:p>
          <w:p w:rsidR="005F3983" w:rsidRDefault="005126D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EC431D">
                <w:rPr>
                  <w:rStyle w:val="a3"/>
                  <w:rFonts w:ascii="Times New Roman" w:hAnsi="Times New Roman" w:cs="Times New Roman"/>
                  <w:sz w:val="24"/>
                  <w:szCs w:val="24"/>
                </w:rPr>
                <w:t>http://ru.spinform.ru</w:t>
              </w:r>
            </w:hyperlink>
          </w:p>
          <w:p w:rsidR="005F3983" w:rsidRDefault="005126D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F3983" w:rsidRDefault="005126D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F3983">
        <w:trPr>
          <w:trHeight w:hRule="exact" w:val="314"/>
        </w:trPr>
        <w:tc>
          <w:tcPr>
            <w:tcW w:w="9654"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F3983">
        <w:trPr>
          <w:trHeight w:hRule="exact" w:val="6407"/>
        </w:trPr>
        <w:tc>
          <w:tcPr>
            <w:tcW w:w="9654" w:type="dxa"/>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F3983" w:rsidRDefault="005126D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F3983" w:rsidRDefault="005126D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F3983" w:rsidRDefault="005126D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F3983" w:rsidRDefault="005126D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F3983" w:rsidRDefault="005126D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5F3983" w:rsidRDefault="0051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3983">
        <w:trPr>
          <w:trHeight w:hRule="exact" w:val="7407"/>
        </w:trPr>
        <w:tc>
          <w:tcPr>
            <w:tcW w:w="9654" w:type="dxa"/>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F3983" w:rsidRDefault="005126D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F3983" w:rsidRDefault="005126D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F3983" w:rsidRDefault="005126D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F3983" w:rsidRDefault="005126D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F3983">
        <w:trPr>
          <w:trHeight w:hRule="exact" w:val="855"/>
        </w:trPr>
        <w:tc>
          <w:tcPr>
            <w:tcW w:w="9654"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F3983">
        <w:trPr>
          <w:trHeight w:hRule="exact" w:val="2989"/>
        </w:trPr>
        <w:tc>
          <w:tcPr>
            <w:tcW w:w="9654" w:type="dxa"/>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F3983" w:rsidRDefault="005F3983">
            <w:pPr>
              <w:spacing w:after="0" w:line="240" w:lineRule="auto"/>
              <w:jc w:val="both"/>
              <w:rPr>
                <w:sz w:val="24"/>
                <w:szCs w:val="24"/>
              </w:rPr>
            </w:pPr>
          </w:p>
          <w:p w:rsidR="005F3983" w:rsidRDefault="005126D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F3983" w:rsidRDefault="005126D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F3983" w:rsidRDefault="005126D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F3983" w:rsidRDefault="005126D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F3983" w:rsidRDefault="005126D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F3983" w:rsidRDefault="005126D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F3983" w:rsidRDefault="005F3983">
            <w:pPr>
              <w:spacing w:after="0" w:line="240" w:lineRule="auto"/>
              <w:jc w:val="both"/>
              <w:rPr>
                <w:sz w:val="24"/>
                <w:szCs w:val="24"/>
              </w:rPr>
            </w:pPr>
          </w:p>
          <w:p w:rsidR="005F3983" w:rsidRDefault="005126D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F3983">
        <w:trPr>
          <w:trHeight w:hRule="exact" w:val="585"/>
        </w:trPr>
        <w:tc>
          <w:tcPr>
            <w:tcW w:w="9654"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EC431D">
                <w:rPr>
                  <w:rStyle w:val="a3"/>
                  <w:rFonts w:ascii="Times New Roman" w:hAnsi="Times New Roman" w:cs="Times New Roman"/>
                  <w:sz w:val="24"/>
                  <w:szCs w:val="24"/>
                </w:rPr>
                <w:t>http://www.consultant.ru/edu/student/study/</w:t>
              </w:r>
            </w:hyperlink>
          </w:p>
        </w:tc>
      </w:tr>
      <w:tr w:rsidR="005F3983">
        <w:trPr>
          <w:trHeight w:hRule="exact" w:val="304"/>
        </w:trPr>
        <w:tc>
          <w:tcPr>
            <w:tcW w:w="9654"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EC431D">
                <w:rPr>
                  <w:rStyle w:val="a3"/>
                  <w:rFonts w:ascii="Times New Roman" w:hAnsi="Times New Roman" w:cs="Times New Roman"/>
                  <w:sz w:val="24"/>
                  <w:szCs w:val="24"/>
                </w:rPr>
                <w:t>http://edu.garant.ru/omga/</w:t>
              </w:r>
            </w:hyperlink>
          </w:p>
        </w:tc>
      </w:tr>
      <w:tr w:rsidR="005F3983">
        <w:trPr>
          <w:trHeight w:hRule="exact" w:val="304"/>
        </w:trPr>
        <w:tc>
          <w:tcPr>
            <w:tcW w:w="9654"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C431D">
                <w:rPr>
                  <w:rStyle w:val="a3"/>
                  <w:rFonts w:ascii="Times New Roman" w:hAnsi="Times New Roman" w:cs="Times New Roman"/>
                  <w:sz w:val="24"/>
                  <w:szCs w:val="24"/>
                </w:rPr>
                <w:t>http://pravo.gov.ru</w:t>
              </w:r>
            </w:hyperlink>
          </w:p>
        </w:tc>
      </w:tr>
      <w:tr w:rsidR="005F3983">
        <w:trPr>
          <w:trHeight w:hRule="exact" w:val="585"/>
        </w:trPr>
        <w:tc>
          <w:tcPr>
            <w:tcW w:w="9654"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F3983" w:rsidRDefault="005126D8">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EC431D">
                <w:rPr>
                  <w:rStyle w:val="a3"/>
                  <w:rFonts w:ascii="Times New Roman" w:hAnsi="Times New Roman" w:cs="Times New Roman"/>
                  <w:sz w:val="24"/>
                  <w:szCs w:val="24"/>
                </w:rPr>
                <w:t>http://fgosvo.ru</w:t>
              </w:r>
            </w:hyperlink>
          </w:p>
        </w:tc>
      </w:tr>
      <w:tr w:rsidR="005F3983">
        <w:trPr>
          <w:trHeight w:hRule="exact" w:val="304"/>
        </w:trPr>
        <w:tc>
          <w:tcPr>
            <w:tcW w:w="9654"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F3983">
        <w:trPr>
          <w:trHeight w:hRule="exact" w:val="304"/>
        </w:trPr>
        <w:tc>
          <w:tcPr>
            <w:tcW w:w="9654"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EC431D">
                <w:rPr>
                  <w:rStyle w:val="a3"/>
                  <w:rFonts w:ascii="Times New Roman" w:hAnsi="Times New Roman" w:cs="Times New Roman"/>
                  <w:sz w:val="24"/>
                  <w:szCs w:val="24"/>
                </w:rPr>
                <w:t>http://www.ict.edu.ru</w:t>
              </w:r>
            </w:hyperlink>
          </w:p>
        </w:tc>
      </w:tr>
      <w:tr w:rsidR="005F3983">
        <w:trPr>
          <w:trHeight w:hRule="exact" w:val="304"/>
        </w:trPr>
        <w:tc>
          <w:tcPr>
            <w:tcW w:w="9654"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EC431D">
                <w:rPr>
                  <w:rStyle w:val="a3"/>
                  <w:rFonts w:ascii="Times New Roman" w:hAnsi="Times New Roman" w:cs="Times New Roman"/>
                  <w:sz w:val="24"/>
                  <w:szCs w:val="24"/>
                </w:rPr>
                <w:t>http://www.president.kremlin.ru</w:t>
              </w:r>
            </w:hyperlink>
          </w:p>
        </w:tc>
      </w:tr>
      <w:tr w:rsidR="005F3983">
        <w:trPr>
          <w:trHeight w:hRule="exact" w:val="304"/>
        </w:trPr>
        <w:tc>
          <w:tcPr>
            <w:tcW w:w="9654"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5F3983">
        <w:trPr>
          <w:trHeight w:hRule="exact" w:val="304"/>
        </w:trPr>
        <w:tc>
          <w:tcPr>
            <w:tcW w:w="9654"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5F3983">
        <w:trPr>
          <w:trHeight w:hRule="exact" w:val="314"/>
        </w:trPr>
        <w:tc>
          <w:tcPr>
            <w:tcW w:w="9654"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F3983">
        <w:trPr>
          <w:trHeight w:hRule="exact" w:val="522"/>
        </w:trPr>
        <w:tc>
          <w:tcPr>
            <w:tcW w:w="9654" w:type="dxa"/>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5F3983" w:rsidRDefault="0051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3983">
        <w:trPr>
          <w:trHeight w:hRule="exact" w:val="7317"/>
        </w:trPr>
        <w:tc>
          <w:tcPr>
            <w:tcW w:w="9654" w:type="dxa"/>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5F3983" w:rsidRDefault="005126D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F3983" w:rsidRDefault="005126D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F3983" w:rsidRDefault="005126D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F3983" w:rsidRDefault="005126D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F3983" w:rsidRDefault="005126D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F3983" w:rsidRDefault="005126D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F3983" w:rsidRDefault="005126D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F3983" w:rsidRDefault="005126D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F3983" w:rsidRDefault="005126D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F3983" w:rsidRDefault="005126D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F3983" w:rsidRDefault="005126D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F3983" w:rsidRDefault="005126D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F3983" w:rsidRDefault="005126D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F3983">
        <w:trPr>
          <w:trHeight w:hRule="exact" w:val="277"/>
        </w:trPr>
        <w:tc>
          <w:tcPr>
            <w:tcW w:w="9640" w:type="dxa"/>
          </w:tcPr>
          <w:p w:rsidR="005F3983" w:rsidRDefault="005F3983"/>
        </w:tc>
      </w:tr>
      <w:tr w:rsidR="005F3983">
        <w:trPr>
          <w:trHeight w:hRule="exact" w:val="585"/>
        </w:trPr>
        <w:tc>
          <w:tcPr>
            <w:tcW w:w="9654" w:type="dxa"/>
            <w:shd w:val="clear" w:color="000000" w:fill="FFFFFF"/>
            <w:tcMar>
              <w:left w:w="34" w:type="dxa"/>
              <w:right w:w="34" w:type="dxa"/>
            </w:tcMar>
          </w:tcPr>
          <w:p w:rsidR="005F3983" w:rsidRDefault="005126D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F3983">
        <w:trPr>
          <w:trHeight w:hRule="exact" w:val="7211"/>
        </w:trPr>
        <w:tc>
          <w:tcPr>
            <w:tcW w:w="9654" w:type="dxa"/>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3983" w:rsidRDefault="005126D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3983" w:rsidRDefault="005126D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F3983" w:rsidRDefault="005126D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5F3983" w:rsidRDefault="005126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3983">
        <w:trPr>
          <w:trHeight w:hRule="exact" w:val="7046"/>
        </w:trPr>
        <w:tc>
          <w:tcPr>
            <w:tcW w:w="9654" w:type="dxa"/>
            <w:shd w:val="clear" w:color="000000" w:fill="FFFFFF"/>
            <w:tcMar>
              <w:left w:w="34" w:type="dxa"/>
              <w:right w:w="34" w:type="dxa"/>
            </w:tcMar>
          </w:tcPr>
          <w:p w:rsidR="005F3983" w:rsidRDefault="005126D8">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F3983" w:rsidRDefault="005126D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5F3983" w:rsidRDefault="005126D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F3983" w:rsidRDefault="005F3983"/>
    <w:sectPr w:rsidR="005F398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31C6"/>
    <w:rsid w:val="005126D8"/>
    <w:rsid w:val="005F3983"/>
    <w:rsid w:val="00D31453"/>
    <w:rsid w:val="00E209E2"/>
    <w:rsid w:val="00EC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26D8"/>
    <w:rPr>
      <w:color w:val="0563C1" w:themeColor="hyperlink"/>
      <w:u w:val="single"/>
    </w:rPr>
  </w:style>
  <w:style w:type="character" w:styleId="a4">
    <w:name w:val="Unresolved Mention"/>
    <w:basedOn w:val="a0"/>
    <w:uiPriority w:val="99"/>
    <w:semiHidden/>
    <w:unhideWhenUsed/>
    <w:rsid w:val="00512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6897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89580"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58713"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90634"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s://urait.ru/bcode/469020" TargetMode="External"/><Relationship Id="rId9" Type="http://schemas.openxmlformats.org/officeDocument/2006/relationships/hyperlink" Target="https://urait.ru/bcode/490635"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8" Type="http://schemas.openxmlformats.org/officeDocument/2006/relationships/hyperlink" Target="https://urait.ru/bcode/490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6551</Words>
  <Characters>37347</Characters>
  <Application>Microsoft Office Word</Application>
  <DocSecurity>0</DocSecurity>
  <Lines>311</Lines>
  <Paragraphs>87</Paragraphs>
  <ScaleCrop>false</ScaleCrop>
  <Company/>
  <LinksUpToDate>false</LinksUpToDate>
  <CharactersWithSpaces>43811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2022-2023_ФГОС3++2022_Бак-ОФО-Мен_(ЭиУП)(22)_plx_Методы оценки рисков_ Международные стандарты риск-менеджмента</dc:title>
  <dc:creator>FastReport.NET</dc:creator>
  <cp:lastModifiedBy>Mark Bernstorf</cp:lastModifiedBy>
  <cp:revision>4</cp:revision>
  <dcterms:created xsi:type="dcterms:W3CDTF">2022-05-09T16:41:00Z</dcterms:created>
  <dcterms:modified xsi:type="dcterms:W3CDTF">2022-11-12T13:33:00Z</dcterms:modified>
</cp:coreProperties>
</file>